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37BB" w14:textId="468DA18A" w:rsidR="00E76945" w:rsidRPr="006C790E" w:rsidRDefault="007E3D0E" w:rsidP="004D344C">
      <w:pPr>
        <w:pStyle w:val="Heading1"/>
        <w:ind w:left="567" w:right="272"/>
      </w:pPr>
      <w:r w:rsidRPr="00A43FC6">
        <w:rPr>
          <w:noProof/>
          <w:sz w:val="44"/>
          <w:lang w:eastAsia="en-GB"/>
        </w:rPr>
        <w:drawing>
          <wp:anchor distT="0" distB="0" distL="114300" distR="114300" simplePos="0" relativeHeight="251659264" behindDoc="1" locked="0" layoutInCell="1" allowOverlap="1" wp14:anchorId="7F91D424" wp14:editId="019514FD">
            <wp:simplePos x="0" y="0"/>
            <wp:positionH relativeFrom="margin">
              <wp:posOffset>8104876</wp:posOffset>
            </wp:positionH>
            <wp:positionV relativeFrom="paragraph">
              <wp:posOffset>-433325</wp:posOffset>
            </wp:positionV>
            <wp:extent cx="1376887" cy="1132768"/>
            <wp:effectExtent l="0" t="0" r="0" b="0"/>
            <wp:wrapNone/>
            <wp:docPr id="1" name="Picture 1" descr="C:\Users\ZoeyA\Box Sync\Team RRSA Only\RRSA Central Team\RRSA Communications\Brand, narrative and core programme content\Brand and logos\00-New RRSA logos\MAIN_RRS lockup-85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yA\Box Sync\Team RRSA Only\RRSA Central Team\RRSA Communications\Brand, narrative and core programme content\Brand and logos\00-New RRSA logos\MAIN_RRS lockup-85cy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887" cy="1132768"/>
                    </a:xfrm>
                    <a:prstGeom prst="rect">
                      <a:avLst/>
                    </a:prstGeom>
                    <a:noFill/>
                    <a:ln>
                      <a:noFill/>
                    </a:ln>
                  </pic:spPr>
                </pic:pic>
              </a:graphicData>
            </a:graphic>
            <wp14:sizeRelH relativeFrom="page">
              <wp14:pctWidth>0</wp14:pctWidth>
            </wp14:sizeRelH>
            <wp14:sizeRelV relativeFrom="page">
              <wp14:pctHeight>0</wp14:pctHeight>
            </wp14:sizeRelV>
          </wp:anchor>
        </w:drawing>
      </w:r>
      <w:r w:rsidR="00564D0F" w:rsidRPr="006C790E">
        <w:t>action plan</w:t>
      </w:r>
      <w:r w:rsidR="00684680">
        <w:t xml:space="preserve"> for gold</w:t>
      </w:r>
    </w:p>
    <w:p w14:paraId="564197B3" w14:textId="77777777" w:rsidR="004D344C" w:rsidRDefault="004D344C" w:rsidP="004D344C">
      <w:pPr>
        <w:ind w:left="567" w:right="272"/>
        <w:rPr>
          <w:rFonts w:eastAsia="Univers Next Pro" w:cs="Univers Next Pro"/>
        </w:rPr>
      </w:pPr>
    </w:p>
    <w:p w14:paraId="32EC6B4A" w14:textId="172A4494" w:rsidR="004D344C" w:rsidRDefault="66C83D37" w:rsidP="004D344C">
      <w:pPr>
        <w:ind w:left="567" w:right="272"/>
        <w:rPr>
          <w:rFonts w:eastAsia="Univers Next Pro" w:cs="Univers Next Pro"/>
        </w:rPr>
      </w:pPr>
      <w:r w:rsidRPr="66C83D37">
        <w:rPr>
          <w:rFonts w:eastAsia="Univers Next Pro" w:cs="Univers Next Pro"/>
        </w:rPr>
        <w:t>We recognise that children and young people’s capacity is age and ability dependent and cannot always be demonstrated, particularly in nursery and additional needs settings. In all contexts the principles of equality, dignity, respect, non-discrimination and participation should be ‘visible around the school’ and be understood and spoken about by adults.</w:t>
      </w:r>
    </w:p>
    <w:p w14:paraId="3C3B9EA3" w14:textId="77777777" w:rsidR="004D344C" w:rsidRDefault="004D344C" w:rsidP="66C83D37">
      <w:pPr>
        <w:rPr>
          <w:rFonts w:eastAsia="Univers Next Pro" w:cs="Univers Next Pro"/>
        </w:rPr>
      </w:pPr>
    </w:p>
    <w:tbl>
      <w:tblPr>
        <w:tblStyle w:val="TableGrid"/>
        <w:tblW w:w="0" w:type="auto"/>
        <w:tblInd w:w="562" w:type="dxa"/>
        <w:tblLook w:val="04A0" w:firstRow="1" w:lastRow="0" w:firstColumn="1" w:lastColumn="0" w:noHBand="0" w:noVBand="1"/>
      </w:tblPr>
      <w:tblGrid>
        <w:gridCol w:w="2550"/>
        <w:gridCol w:w="11767"/>
      </w:tblGrid>
      <w:tr w:rsidR="004D344C" w14:paraId="2B09A6B6" w14:textId="77777777" w:rsidTr="004D344C">
        <w:trPr>
          <w:trHeight w:val="1066"/>
        </w:trPr>
        <w:tc>
          <w:tcPr>
            <w:tcW w:w="2550" w:type="dxa"/>
            <w:tcBorders>
              <w:top w:val="single" w:sz="4" w:space="0" w:color="auto"/>
              <w:left w:val="single" w:sz="4" w:space="0" w:color="auto"/>
              <w:bottom w:val="single" w:sz="4" w:space="0" w:color="auto"/>
              <w:right w:val="single" w:sz="4" w:space="0" w:color="auto"/>
            </w:tcBorders>
            <w:vAlign w:val="center"/>
            <w:hideMark/>
          </w:tcPr>
          <w:p w14:paraId="09980AB7" w14:textId="101CCEF1" w:rsidR="004D344C" w:rsidRDefault="004D344C">
            <w:r>
              <w:rPr>
                <w:rFonts w:eastAsia="Univers Next Pro" w:cs="Univers Next Pro"/>
              </w:rPr>
              <w:br w:type="page"/>
            </w:r>
            <w:r>
              <w:t>School name</w:t>
            </w:r>
          </w:p>
        </w:tc>
        <w:tc>
          <w:tcPr>
            <w:tcW w:w="11767" w:type="dxa"/>
            <w:tcBorders>
              <w:top w:val="single" w:sz="4" w:space="0" w:color="auto"/>
              <w:left w:val="single" w:sz="4" w:space="0" w:color="auto"/>
              <w:bottom w:val="single" w:sz="4" w:space="0" w:color="auto"/>
              <w:right w:val="single" w:sz="4" w:space="0" w:color="auto"/>
            </w:tcBorders>
          </w:tcPr>
          <w:p w14:paraId="28DFC15C" w14:textId="77777777" w:rsidR="004D344C" w:rsidRDefault="004D344C">
            <w:pPr>
              <w:rPr>
                <w:rFonts w:eastAsia="Univers Next Pro" w:cs="Univers Next Pro"/>
              </w:rPr>
            </w:pPr>
          </w:p>
        </w:tc>
      </w:tr>
      <w:tr w:rsidR="004D344C" w14:paraId="02247FC5" w14:textId="77777777" w:rsidTr="004D344C">
        <w:trPr>
          <w:trHeight w:val="1066"/>
        </w:trPr>
        <w:tc>
          <w:tcPr>
            <w:tcW w:w="2550" w:type="dxa"/>
            <w:tcBorders>
              <w:top w:val="single" w:sz="4" w:space="0" w:color="auto"/>
              <w:left w:val="single" w:sz="4" w:space="0" w:color="auto"/>
              <w:bottom w:val="single" w:sz="4" w:space="0" w:color="auto"/>
              <w:right w:val="single" w:sz="4" w:space="0" w:color="auto"/>
            </w:tcBorders>
            <w:vAlign w:val="center"/>
            <w:hideMark/>
          </w:tcPr>
          <w:p w14:paraId="2C4D681D" w14:textId="77777777" w:rsidR="004D344C" w:rsidRDefault="004D344C">
            <w:r>
              <w:t>Local Authority</w:t>
            </w:r>
          </w:p>
        </w:tc>
        <w:tc>
          <w:tcPr>
            <w:tcW w:w="11767" w:type="dxa"/>
            <w:tcBorders>
              <w:top w:val="single" w:sz="4" w:space="0" w:color="auto"/>
              <w:left w:val="single" w:sz="4" w:space="0" w:color="auto"/>
              <w:bottom w:val="single" w:sz="4" w:space="0" w:color="auto"/>
              <w:right w:val="single" w:sz="4" w:space="0" w:color="auto"/>
            </w:tcBorders>
          </w:tcPr>
          <w:p w14:paraId="309FEBC4" w14:textId="77777777" w:rsidR="004D344C" w:rsidRDefault="004D344C">
            <w:pPr>
              <w:rPr>
                <w:rFonts w:eastAsia="Univers Next Pro" w:cs="Univers Next Pro"/>
              </w:rPr>
            </w:pPr>
          </w:p>
        </w:tc>
      </w:tr>
      <w:tr w:rsidR="004D344C" w14:paraId="20286120" w14:textId="77777777" w:rsidTr="004D344C">
        <w:trPr>
          <w:trHeight w:val="969"/>
        </w:trPr>
        <w:tc>
          <w:tcPr>
            <w:tcW w:w="2550" w:type="dxa"/>
            <w:tcBorders>
              <w:top w:val="single" w:sz="4" w:space="0" w:color="auto"/>
              <w:left w:val="single" w:sz="4" w:space="0" w:color="auto"/>
              <w:bottom w:val="single" w:sz="4" w:space="0" w:color="auto"/>
              <w:right w:val="single" w:sz="4" w:space="0" w:color="auto"/>
            </w:tcBorders>
            <w:vAlign w:val="center"/>
            <w:hideMark/>
          </w:tcPr>
          <w:p w14:paraId="4D465992" w14:textId="77777777" w:rsidR="004D344C" w:rsidRDefault="004D344C">
            <w:r>
              <w:t>Headteacher</w:t>
            </w:r>
          </w:p>
        </w:tc>
        <w:tc>
          <w:tcPr>
            <w:tcW w:w="11767" w:type="dxa"/>
            <w:tcBorders>
              <w:top w:val="single" w:sz="4" w:space="0" w:color="auto"/>
              <w:left w:val="single" w:sz="4" w:space="0" w:color="auto"/>
              <w:bottom w:val="single" w:sz="4" w:space="0" w:color="auto"/>
              <w:right w:val="single" w:sz="4" w:space="0" w:color="auto"/>
            </w:tcBorders>
          </w:tcPr>
          <w:p w14:paraId="1EE707F1" w14:textId="77777777" w:rsidR="004D344C" w:rsidRDefault="004D344C">
            <w:pPr>
              <w:rPr>
                <w:rFonts w:eastAsia="Univers Next Pro" w:cs="Univers Next Pro"/>
              </w:rPr>
            </w:pPr>
          </w:p>
        </w:tc>
      </w:tr>
      <w:tr w:rsidR="004D344C" w14:paraId="0CE6CD87" w14:textId="77777777" w:rsidTr="004D344C">
        <w:trPr>
          <w:trHeight w:val="996"/>
        </w:trPr>
        <w:tc>
          <w:tcPr>
            <w:tcW w:w="2550" w:type="dxa"/>
            <w:tcBorders>
              <w:top w:val="single" w:sz="4" w:space="0" w:color="auto"/>
              <w:left w:val="single" w:sz="4" w:space="0" w:color="auto"/>
              <w:bottom w:val="single" w:sz="4" w:space="0" w:color="auto"/>
              <w:right w:val="single" w:sz="4" w:space="0" w:color="auto"/>
            </w:tcBorders>
            <w:vAlign w:val="center"/>
            <w:hideMark/>
          </w:tcPr>
          <w:p w14:paraId="4822C16C" w14:textId="77777777" w:rsidR="004D344C" w:rsidRDefault="004D344C">
            <w:r>
              <w:t>RRSA coordinator</w:t>
            </w:r>
          </w:p>
        </w:tc>
        <w:tc>
          <w:tcPr>
            <w:tcW w:w="11767" w:type="dxa"/>
            <w:tcBorders>
              <w:top w:val="single" w:sz="4" w:space="0" w:color="auto"/>
              <w:left w:val="single" w:sz="4" w:space="0" w:color="auto"/>
              <w:bottom w:val="single" w:sz="4" w:space="0" w:color="auto"/>
              <w:right w:val="single" w:sz="4" w:space="0" w:color="auto"/>
            </w:tcBorders>
          </w:tcPr>
          <w:p w14:paraId="786319EF" w14:textId="77777777" w:rsidR="004D344C" w:rsidRDefault="004D344C">
            <w:pPr>
              <w:rPr>
                <w:rFonts w:eastAsia="Univers Next Pro" w:cs="Univers Next Pro"/>
              </w:rPr>
            </w:pPr>
          </w:p>
        </w:tc>
      </w:tr>
      <w:tr w:rsidR="004D344C" w14:paraId="2FAFBF6F" w14:textId="77777777" w:rsidTr="004D344C">
        <w:trPr>
          <w:trHeight w:val="968"/>
        </w:trPr>
        <w:tc>
          <w:tcPr>
            <w:tcW w:w="2550" w:type="dxa"/>
            <w:tcBorders>
              <w:top w:val="single" w:sz="4" w:space="0" w:color="auto"/>
              <w:left w:val="single" w:sz="4" w:space="0" w:color="auto"/>
              <w:bottom w:val="single" w:sz="4" w:space="0" w:color="auto"/>
              <w:right w:val="single" w:sz="4" w:space="0" w:color="auto"/>
            </w:tcBorders>
            <w:vAlign w:val="center"/>
            <w:hideMark/>
          </w:tcPr>
          <w:p w14:paraId="0D677682" w14:textId="77777777" w:rsidR="004D344C" w:rsidRDefault="004D344C">
            <w:r>
              <w:t>Date</w:t>
            </w:r>
          </w:p>
        </w:tc>
        <w:tc>
          <w:tcPr>
            <w:tcW w:w="11767" w:type="dxa"/>
            <w:tcBorders>
              <w:top w:val="single" w:sz="4" w:space="0" w:color="auto"/>
              <w:left w:val="single" w:sz="4" w:space="0" w:color="auto"/>
              <w:bottom w:val="single" w:sz="4" w:space="0" w:color="auto"/>
              <w:right w:val="single" w:sz="4" w:space="0" w:color="auto"/>
            </w:tcBorders>
          </w:tcPr>
          <w:p w14:paraId="553A111F" w14:textId="77777777" w:rsidR="004D344C" w:rsidRDefault="004D344C">
            <w:pPr>
              <w:rPr>
                <w:rFonts w:eastAsia="Univers Next Pro" w:cs="Univers Next Pro"/>
              </w:rPr>
            </w:pPr>
          </w:p>
        </w:tc>
      </w:tr>
    </w:tbl>
    <w:p w14:paraId="47A410F2" w14:textId="6766BC6B" w:rsidR="004D344C" w:rsidRDefault="004D344C">
      <w:pPr>
        <w:rPr>
          <w:rFonts w:eastAsia="Univers Next Pro" w:cs="Univers Next Pro"/>
        </w:rPr>
      </w:pPr>
    </w:p>
    <w:p w14:paraId="6B57531F" w14:textId="77777777" w:rsidR="004D344C" w:rsidRDefault="004D344C">
      <w:pPr>
        <w:rPr>
          <w:rFonts w:eastAsia="Univers Next Pro" w:cs="Univers Next Pro"/>
        </w:rPr>
      </w:pPr>
      <w:r>
        <w:rPr>
          <w:rFonts w:eastAsia="Univers Next Pro" w:cs="Univers Next Pro"/>
        </w:rPr>
        <w:br w:type="page"/>
      </w:r>
    </w:p>
    <w:tbl>
      <w:tblPr>
        <w:tblStyle w:val="TableGrid"/>
        <w:tblW w:w="14317" w:type="dxa"/>
        <w:tblInd w:w="562" w:type="dxa"/>
        <w:tblLayout w:type="fixed"/>
        <w:tblLook w:val="04A0" w:firstRow="1" w:lastRow="0" w:firstColumn="1" w:lastColumn="0" w:noHBand="0" w:noVBand="1"/>
      </w:tblPr>
      <w:tblGrid>
        <w:gridCol w:w="2847"/>
        <w:gridCol w:w="4406"/>
        <w:gridCol w:w="850"/>
        <w:gridCol w:w="6214"/>
      </w:tblGrid>
      <w:tr w:rsidR="00A5378E" w:rsidRPr="006C790E" w14:paraId="3A0A8A94" w14:textId="7F5655CD" w:rsidTr="004D344C">
        <w:trPr>
          <w:trHeight w:val="576"/>
        </w:trPr>
        <w:tc>
          <w:tcPr>
            <w:tcW w:w="14317" w:type="dxa"/>
            <w:gridSpan w:val="4"/>
          </w:tcPr>
          <w:p w14:paraId="6EEE6608" w14:textId="77777777" w:rsidR="00E76945" w:rsidRPr="00684680" w:rsidRDefault="00E76945" w:rsidP="00684680">
            <w:pPr>
              <w:pStyle w:val="Heading1"/>
              <w:outlineLvl w:val="0"/>
              <w:rPr>
                <w:sz w:val="36"/>
              </w:rPr>
            </w:pPr>
            <w:r w:rsidRPr="00684680">
              <w:rPr>
                <w:sz w:val="36"/>
              </w:rPr>
              <w:lastRenderedPageBreak/>
              <w:t>Strand a: Teaching and learning about rights</w:t>
            </w:r>
          </w:p>
          <w:p w14:paraId="4ACD411C" w14:textId="24B8386D" w:rsidR="00E76945" w:rsidRPr="006C790E" w:rsidRDefault="00E76945" w:rsidP="00E76945">
            <w:pPr>
              <w:autoSpaceDE w:val="0"/>
              <w:autoSpaceDN w:val="0"/>
              <w:adjustRightInd w:val="0"/>
              <w:rPr>
                <w:rFonts w:cs="Arial"/>
                <w:color w:val="000000"/>
              </w:rPr>
            </w:pPr>
            <w:r w:rsidRPr="006C790E">
              <w:rPr>
                <w:rFonts w:cs="Arial"/>
                <w:color w:val="000000"/>
              </w:rPr>
              <w:t>The United Nations Convention on the Rights of the Child (CRC) is made known to children, young people and adults who use this shared understanding to work for improved child wellbeing, school improvement, global justice and sustainable living.</w:t>
            </w:r>
          </w:p>
          <w:p w14:paraId="2E269D59" w14:textId="63AFEB9A" w:rsidR="00A5378E" w:rsidRPr="006C790E" w:rsidRDefault="00A5378E" w:rsidP="00A5378E">
            <w:pPr>
              <w:autoSpaceDE w:val="0"/>
              <w:autoSpaceDN w:val="0"/>
              <w:adjustRightInd w:val="0"/>
              <w:rPr>
                <w:rFonts w:cs="Arial"/>
                <w:color w:val="000000"/>
              </w:rPr>
            </w:pPr>
          </w:p>
        </w:tc>
      </w:tr>
      <w:tr w:rsidR="00684680" w:rsidRPr="006C790E" w14:paraId="52D65263" w14:textId="77777777" w:rsidTr="004D344C">
        <w:trPr>
          <w:trHeight w:val="637"/>
          <w:tblHeader/>
        </w:trPr>
        <w:tc>
          <w:tcPr>
            <w:tcW w:w="2847" w:type="dxa"/>
          </w:tcPr>
          <w:p w14:paraId="53A1AB3B" w14:textId="77777777" w:rsidR="00684680" w:rsidRPr="006C790E" w:rsidRDefault="00684680" w:rsidP="00195129">
            <w:pPr>
              <w:pStyle w:val="Heading2"/>
              <w:jc w:val="center"/>
              <w:outlineLvl w:val="1"/>
            </w:pPr>
            <w:r>
              <w:t>Outcome</w:t>
            </w:r>
          </w:p>
        </w:tc>
        <w:tc>
          <w:tcPr>
            <w:tcW w:w="4406" w:type="dxa"/>
          </w:tcPr>
          <w:p w14:paraId="7C32E9F8" w14:textId="77777777" w:rsidR="00684680" w:rsidRPr="006C790E" w:rsidRDefault="00684680" w:rsidP="00195129">
            <w:pPr>
              <w:pStyle w:val="Heading2"/>
              <w:jc w:val="center"/>
              <w:outlineLvl w:val="1"/>
            </w:pPr>
            <w:r w:rsidRPr="006C790E">
              <w:t>At gold</w:t>
            </w:r>
          </w:p>
        </w:tc>
        <w:tc>
          <w:tcPr>
            <w:tcW w:w="850" w:type="dxa"/>
          </w:tcPr>
          <w:p w14:paraId="4846D2BE" w14:textId="77777777" w:rsidR="00684680" w:rsidRPr="006C790E" w:rsidRDefault="00684680" w:rsidP="00195129">
            <w:pPr>
              <w:pStyle w:val="Heading2"/>
              <w:outlineLvl w:val="1"/>
            </w:pPr>
            <w:r w:rsidRPr="006C790E">
              <w:t>RAG</w:t>
            </w:r>
          </w:p>
        </w:tc>
        <w:tc>
          <w:tcPr>
            <w:tcW w:w="6214" w:type="dxa"/>
          </w:tcPr>
          <w:p w14:paraId="600FA268" w14:textId="77777777" w:rsidR="00684680" w:rsidRPr="006C790E" w:rsidRDefault="00684680" w:rsidP="00195129">
            <w:pPr>
              <w:pStyle w:val="Heading2"/>
              <w:outlineLvl w:val="1"/>
            </w:pPr>
            <w:r w:rsidRPr="006C790E">
              <w:t>Actions – WHAT, who, when</w:t>
            </w:r>
          </w:p>
        </w:tc>
      </w:tr>
      <w:tr w:rsidR="00A50DC3" w:rsidRPr="006C790E" w14:paraId="5C8E61EE" w14:textId="77777777" w:rsidTr="004D344C">
        <w:trPr>
          <w:trHeight w:val="1050"/>
        </w:trPr>
        <w:tc>
          <w:tcPr>
            <w:tcW w:w="2847" w:type="dxa"/>
            <w:vMerge w:val="restart"/>
          </w:tcPr>
          <w:p w14:paraId="27E9EFBD" w14:textId="77777777" w:rsidR="00B53B9F" w:rsidRPr="00B53B9F" w:rsidRDefault="00B53B9F" w:rsidP="00B53B9F">
            <w:pPr>
              <w:pStyle w:val="ListParagraph"/>
              <w:numPr>
                <w:ilvl w:val="0"/>
                <w:numId w:val="12"/>
              </w:numPr>
              <w:rPr>
                <w:rFonts w:cs="Arial"/>
              </w:rPr>
            </w:pPr>
            <w:r w:rsidRPr="00B53B9F">
              <w:rPr>
                <w:rFonts w:cs="Arial"/>
              </w:rPr>
              <w:t xml:space="preserve">Children, young people and the wider school community know about and understand the United Nations Convention on the Rights of the Child and can share how it impacts on their lives and on the lives of children everywhere. </w:t>
            </w:r>
          </w:p>
          <w:p w14:paraId="6D31A92E" w14:textId="77777777" w:rsidR="00A50DC3" w:rsidRPr="006C790E" w:rsidRDefault="00A50DC3" w:rsidP="00684680">
            <w:pPr>
              <w:rPr>
                <w:rFonts w:cs="Arial"/>
              </w:rPr>
            </w:pPr>
          </w:p>
          <w:p w14:paraId="1FEAC283" w14:textId="77777777" w:rsidR="00A50DC3" w:rsidRPr="00684680" w:rsidRDefault="00A50DC3" w:rsidP="00684680">
            <w:pPr>
              <w:spacing w:before="240"/>
              <w:rPr>
                <w:rFonts w:cs="Arial"/>
              </w:rPr>
            </w:pPr>
            <w:r w:rsidRPr="00684680">
              <w:rPr>
                <w:rFonts w:cs="Arial"/>
              </w:rPr>
              <w:t xml:space="preserve"> </w:t>
            </w:r>
          </w:p>
          <w:p w14:paraId="0C34EF4A" w14:textId="77777777" w:rsidR="00A50DC3" w:rsidRPr="006C790E" w:rsidRDefault="00A50DC3" w:rsidP="00684680">
            <w:pPr>
              <w:pStyle w:val="ListParagraph"/>
              <w:numPr>
                <w:ilvl w:val="0"/>
                <w:numId w:val="0"/>
              </w:numPr>
              <w:spacing w:before="240"/>
              <w:ind w:left="360"/>
              <w:rPr>
                <w:rFonts w:cs="Arial"/>
              </w:rPr>
            </w:pPr>
            <w:r w:rsidRPr="006C790E">
              <w:rPr>
                <w:rFonts w:cs="Arial"/>
              </w:rPr>
              <w:t xml:space="preserve"> </w:t>
            </w:r>
          </w:p>
          <w:p w14:paraId="253433A9" w14:textId="77777777" w:rsidR="00A50DC3" w:rsidRPr="006C790E" w:rsidRDefault="00A50DC3" w:rsidP="00684680">
            <w:pPr>
              <w:rPr>
                <w:rFonts w:cs="Arial"/>
              </w:rPr>
            </w:pPr>
          </w:p>
        </w:tc>
        <w:tc>
          <w:tcPr>
            <w:tcW w:w="4406" w:type="dxa"/>
          </w:tcPr>
          <w:p w14:paraId="6E5F3DD0" w14:textId="2E34DDA9" w:rsidR="00A50DC3" w:rsidRPr="006C790E" w:rsidRDefault="00B53B9F" w:rsidP="00684680">
            <w:r w:rsidRPr="00B53B9F">
              <w:t xml:space="preserve">Most children and young people are familiar with a wide range of Articles of the CRC. </w:t>
            </w:r>
          </w:p>
        </w:tc>
        <w:tc>
          <w:tcPr>
            <w:tcW w:w="850" w:type="dxa"/>
          </w:tcPr>
          <w:p w14:paraId="56D344BB" w14:textId="77777777" w:rsidR="00A50DC3" w:rsidRPr="006C790E" w:rsidRDefault="00A50DC3" w:rsidP="00684680"/>
          <w:p w14:paraId="020090A1" w14:textId="77777777" w:rsidR="00A50DC3" w:rsidRPr="006C790E" w:rsidRDefault="00A50DC3" w:rsidP="00684680"/>
        </w:tc>
        <w:tc>
          <w:tcPr>
            <w:tcW w:w="6214" w:type="dxa"/>
            <w:vMerge w:val="restart"/>
          </w:tcPr>
          <w:p w14:paraId="6AB92A08" w14:textId="77777777" w:rsidR="00A50DC3" w:rsidRPr="006C790E" w:rsidRDefault="00A50DC3" w:rsidP="00684680"/>
        </w:tc>
      </w:tr>
      <w:tr w:rsidR="00A50DC3" w:rsidRPr="006C790E" w14:paraId="7F5143FE" w14:textId="1A6F2D2F" w:rsidTr="004D344C">
        <w:trPr>
          <w:trHeight w:val="1251"/>
        </w:trPr>
        <w:tc>
          <w:tcPr>
            <w:tcW w:w="2847" w:type="dxa"/>
            <w:vMerge/>
          </w:tcPr>
          <w:p w14:paraId="5DCE6B21" w14:textId="0890A526" w:rsidR="00A50DC3" w:rsidRPr="006C790E" w:rsidRDefault="00A50DC3" w:rsidP="00684680">
            <w:pPr>
              <w:rPr>
                <w:rFonts w:cs="Arial"/>
                <w:sz w:val="20"/>
                <w:szCs w:val="20"/>
              </w:rPr>
            </w:pPr>
          </w:p>
        </w:tc>
        <w:tc>
          <w:tcPr>
            <w:tcW w:w="4406" w:type="dxa"/>
          </w:tcPr>
          <w:p w14:paraId="6982368B" w14:textId="1CAEEDE6" w:rsidR="00A50DC3" w:rsidRPr="006C790E" w:rsidRDefault="00B53B9F" w:rsidP="00684680">
            <w:r w:rsidRPr="00B53B9F">
              <w:t>They understand the concept of duty bearers and the concepts of rights being inherent, inalienable, indivisible, universal and unconditional.</w:t>
            </w:r>
          </w:p>
        </w:tc>
        <w:tc>
          <w:tcPr>
            <w:tcW w:w="850" w:type="dxa"/>
          </w:tcPr>
          <w:p w14:paraId="5CA03BD6" w14:textId="77777777" w:rsidR="00A50DC3" w:rsidRPr="006C790E" w:rsidRDefault="00A50DC3" w:rsidP="00684680"/>
          <w:p w14:paraId="2B32CC09" w14:textId="353A0B3A" w:rsidR="00A50DC3" w:rsidRPr="006C790E" w:rsidRDefault="00A50DC3" w:rsidP="00684680"/>
        </w:tc>
        <w:tc>
          <w:tcPr>
            <w:tcW w:w="6214" w:type="dxa"/>
            <w:vMerge/>
          </w:tcPr>
          <w:p w14:paraId="36253359" w14:textId="77777777" w:rsidR="00A50DC3" w:rsidRPr="006C790E" w:rsidRDefault="00A50DC3" w:rsidP="00684680"/>
        </w:tc>
      </w:tr>
      <w:tr w:rsidR="00A50DC3" w:rsidRPr="006C790E" w14:paraId="3FB6ACC4" w14:textId="77777777" w:rsidTr="004D344C">
        <w:trPr>
          <w:trHeight w:val="1248"/>
        </w:trPr>
        <w:tc>
          <w:tcPr>
            <w:tcW w:w="2847" w:type="dxa"/>
            <w:vMerge/>
          </w:tcPr>
          <w:p w14:paraId="582B19D6" w14:textId="77777777" w:rsidR="00A50DC3" w:rsidRPr="006C790E" w:rsidRDefault="00A50DC3" w:rsidP="00684680">
            <w:pPr>
              <w:pStyle w:val="ListParagraph"/>
              <w:numPr>
                <w:ilvl w:val="0"/>
                <w:numId w:val="12"/>
              </w:numPr>
              <w:spacing w:before="240"/>
              <w:rPr>
                <w:rFonts w:cs="Arial"/>
              </w:rPr>
            </w:pPr>
          </w:p>
        </w:tc>
        <w:tc>
          <w:tcPr>
            <w:tcW w:w="4406" w:type="dxa"/>
          </w:tcPr>
          <w:p w14:paraId="3639FBEB" w14:textId="60A44471" w:rsidR="00A50DC3" w:rsidRPr="006C790E" w:rsidRDefault="00B53B9F" w:rsidP="00684680">
            <w:r w:rsidRPr="00B53B9F">
              <w:t>Most children and young people understand how local and global issues and sustainable development are linked to rights.</w:t>
            </w:r>
          </w:p>
        </w:tc>
        <w:tc>
          <w:tcPr>
            <w:tcW w:w="850" w:type="dxa"/>
          </w:tcPr>
          <w:p w14:paraId="088AFC8A" w14:textId="28EA0E79" w:rsidR="00A50DC3" w:rsidRPr="006C790E" w:rsidRDefault="00A50DC3" w:rsidP="00684680"/>
        </w:tc>
        <w:tc>
          <w:tcPr>
            <w:tcW w:w="6214" w:type="dxa"/>
            <w:vMerge/>
          </w:tcPr>
          <w:p w14:paraId="5706ECC9" w14:textId="77777777" w:rsidR="00A50DC3" w:rsidRPr="006C790E" w:rsidRDefault="00A50DC3" w:rsidP="00684680"/>
        </w:tc>
      </w:tr>
      <w:tr w:rsidR="00A50DC3" w:rsidRPr="006C790E" w14:paraId="04E79E76" w14:textId="77777777" w:rsidTr="004D344C">
        <w:trPr>
          <w:trHeight w:val="1248"/>
        </w:trPr>
        <w:tc>
          <w:tcPr>
            <w:tcW w:w="2847" w:type="dxa"/>
            <w:vMerge/>
          </w:tcPr>
          <w:p w14:paraId="5E0EBB8F" w14:textId="77777777" w:rsidR="00A50DC3" w:rsidRPr="006C790E" w:rsidRDefault="00A50DC3" w:rsidP="00684680">
            <w:pPr>
              <w:pStyle w:val="ListParagraph"/>
              <w:numPr>
                <w:ilvl w:val="0"/>
                <w:numId w:val="12"/>
              </w:numPr>
              <w:spacing w:before="240"/>
              <w:rPr>
                <w:rFonts w:cs="Arial"/>
              </w:rPr>
            </w:pPr>
          </w:p>
        </w:tc>
        <w:tc>
          <w:tcPr>
            <w:tcW w:w="4406" w:type="dxa"/>
          </w:tcPr>
          <w:p w14:paraId="6089FE35" w14:textId="50A6CF4C" w:rsidR="00A50DC3" w:rsidRPr="006C790E" w:rsidRDefault="00B53B9F" w:rsidP="00684680">
            <w:r w:rsidRPr="00B53B9F">
              <w:t>Adults and the wider school community show a commitment to the CRC.</w:t>
            </w:r>
          </w:p>
        </w:tc>
        <w:tc>
          <w:tcPr>
            <w:tcW w:w="850" w:type="dxa"/>
          </w:tcPr>
          <w:p w14:paraId="763E4D6A" w14:textId="357B9182" w:rsidR="00A50DC3" w:rsidRPr="006C790E" w:rsidRDefault="00A50DC3" w:rsidP="00684680"/>
        </w:tc>
        <w:tc>
          <w:tcPr>
            <w:tcW w:w="6214" w:type="dxa"/>
            <w:vMerge/>
          </w:tcPr>
          <w:p w14:paraId="4F2CCDFF" w14:textId="77777777" w:rsidR="00A50DC3" w:rsidRPr="006C790E" w:rsidRDefault="00A50DC3" w:rsidP="00684680"/>
        </w:tc>
      </w:tr>
    </w:tbl>
    <w:p w14:paraId="44D5ED6E" w14:textId="43CE0E54" w:rsidR="00817BF2" w:rsidRDefault="00817BF2" w:rsidP="006607D6"/>
    <w:tbl>
      <w:tblPr>
        <w:tblStyle w:val="TableGrid"/>
        <w:tblW w:w="14317" w:type="dxa"/>
        <w:tblInd w:w="562" w:type="dxa"/>
        <w:tblLayout w:type="fixed"/>
        <w:tblLook w:val="04A0" w:firstRow="1" w:lastRow="0" w:firstColumn="1" w:lastColumn="0" w:noHBand="0" w:noVBand="1"/>
      </w:tblPr>
      <w:tblGrid>
        <w:gridCol w:w="2977"/>
        <w:gridCol w:w="4276"/>
        <w:gridCol w:w="850"/>
        <w:gridCol w:w="6214"/>
      </w:tblGrid>
      <w:tr w:rsidR="00817BF2" w:rsidRPr="006C790E" w14:paraId="1DDDE00E" w14:textId="77777777" w:rsidTr="004D344C">
        <w:trPr>
          <w:trHeight w:val="1266"/>
        </w:trPr>
        <w:tc>
          <w:tcPr>
            <w:tcW w:w="14317" w:type="dxa"/>
            <w:gridSpan w:val="4"/>
          </w:tcPr>
          <w:p w14:paraId="062BC45C" w14:textId="77777777" w:rsidR="00817BF2" w:rsidRPr="00684680" w:rsidRDefault="00817BF2" w:rsidP="00195129">
            <w:pPr>
              <w:pStyle w:val="Heading1"/>
              <w:outlineLvl w:val="0"/>
              <w:rPr>
                <w:sz w:val="36"/>
                <w:szCs w:val="36"/>
              </w:rPr>
            </w:pPr>
            <w:r w:rsidRPr="00684680">
              <w:rPr>
                <w:sz w:val="36"/>
                <w:szCs w:val="36"/>
              </w:rPr>
              <w:lastRenderedPageBreak/>
              <w:t>strand b: Teaching and learning through rights – ethos and relationships</w:t>
            </w:r>
          </w:p>
          <w:p w14:paraId="5818ADC0" w14:textId="77777777" w:rsidR="00817BF2" w:rsidRPr="006C790E" w:rsidRDefault="00817BF2" w:rsidP="00195129">
            <w:pPr>
              <w:rPr>
                <w:rFonts w:cs="Arial"/>
              </w:rPr>
            </w:pPr>
            <w:r w:rsidRPr="006C790E">
              <w:t>Actions and decisions affecting children are rooted, reviewed and resolved through rights. Children, y</w:t>
            </w:r>
            <w:r w:rsidRPr="006C790E">
              <w:rPr>
                <w:rFonts w:cs="Arial"/>
              </w:rPr>
              <w:t xml:space="preserve">oung people and adults collaborate to develop and maintain </w:t>
            </w:r>
            <w:r w:rsidRPr="006C790E">
              <w:t>a school community based on equality, dignity, respect, non-discrimination and participation</w:t>
            </w:r>
            <w:r w:rsidRPr="006C790E">
              <w:rPr>
                <w:rFonts w:cs="Arial"/>
              </w:rPr>
              <w:t>; this includes learning and teaching in a way that respects the rights of both educators</w:t>
            </w:r>
            <w:r>
              <w:rPr>
                <w:rFonts w:cs="Arial"/>
              </w:rPr>
              <w:t xml:space="preserve"> and learners and promotes well</w:t>
            </w:r>
            <w:r w:rsidRPr="006C790E">
              <w:rPr>
                <w:rFonts w:cs="Arial"/>
              </w:rPr>
              <w:t>being.</w:t>
            </w:r>
          </w:p>
          <w:p w14:paraId="45CE7EA8" w14:textId="77777777" w:rsidR="00817BF2" w:rsidRPr="006C790E" w:rsidRDefault="00817BF2" w:rsidP="00195129">
            <w:pPr>
              <w:rPr>
                <w:rFonts w:cs="Arial"/>
              </w:rPr>
            </w:pPr>
          </w:p>
        </w:tc>
      </w:tr>
      <w:tr w:rsidR="00817BF2" w:rsidRPr="006C790E" w14:paraId="2AFB4B81" w14:textId="77777777" w:rsidTr="004D344C">
        <w:trPr>
          <w:trHeight w:val="637"/>
          <w:tblHeader/>
        </w:trPr>
        <w:tc>
          <w:tcPr>
            <w:tcW w:w="2977" w:type="dxa"/>
          </w:tcPr>
          <w:p w14:paraId="63E93793" w14:textId="77777777" w:rsidR="00817BF2" w:rsidRPr="006C790E" w:rsidRDefault="00817BF2" w:rsidP="00195129">
            <w:pPr>
              <w:pStyle w:val="Heading2"/>
              <w:jc w:val="center"/>
              <w:outlineLvl w:val="1"/>
            </w:pPr>
            <w:r>
              <w:t>Outcome</w:t>
            </w:r>
          </w:p>
        </w:tc>
        <w:tc>
          <w:tcPr>
            <w:tcW w:w="4276" w:type="dxa"/>
          </w:tcPr>
          <w:p w14:paraId="0505EEFA" w14:textId="77777777" w:rsidR="00817BF2" w:rsidRPr="006C790E" w:rsidRDefault="00817BF2" w:rsidP="00195129">
            <w:pPr>
              <w:pStyle w:val="Heading2"/>
              <w:jc w:val="center"/>
              <w:outlineLvl w:val="1"/>
            </w:pPr>
            <w:r w:rsidRPr="006C790E">
              <w:t>At gold</w:t>
            </w:r>
          </w:p>
        </w:tc>
        <w:tc>
          <w:tcPr>
            <w:tcW w:w="850" w:type="dxa"/>
          </w:tcPr>
          <w:p w14:paraId="4FADA7DD" w14:textId="77777777" w:rsidR="00817BF2" w:rsidRPr="006C790E" w:rsidRDefault="00817BF2" w:rsidP="00195129">
            <w:pPr>
              <w:pStyle w:val="Heading2"/>
              <w:outlineLvl w:val="1"/>
            </w:pPr>
            <w:r w:rsidRPr="006C790E">
              <w:t>RAG</w:t>
            </w:r>
          </w:p>
        </w:tc>
        <w:tc>
          <w:tcPr>
            <w:tcW w:w="6214" w:type="dxa"/>
          </w:tcPr>
          <w:p w14:paraId="540DA838" w14:textId="77777777" w:rsidR="00817BF2" w:rsidRPr="006C790E" w:rsidRDefault="00817BF2" w:rsidP="00195129">
            <w:pPr>
              <w:pStyle w:val="Heading2"/>
              <w:outlineLvl w:val="1"/>
            </w:pPr>
            <w:r w:rsidRPr="006C790E">
              <w:t>Actions – WHAT, who, when</w:t>
            </w:r>
          </w:p>
        </w:tc>
      </w:tr>
      <w:tr w:rsidR="00817BF2" w:rsidRPr="006C790E" w14:paraId="3F09B8DC" w14:textId="77777777" w:rsidTr="004D344C">
        <w:trPr>
          <w:trHeight w:val="1050"/>
        </w:trPr>
        <w:tc>
          <w:tcPr>
            <w:tcW w:w="2977" w:type="dxa"/>
            <w:vMerge w:val="restart"/>
          </w:tcPr>
          <w:p w14:paraId="143DBD05" w14:textId="77777777" w:rsidR="00B53B9F" w:rsidRPr="00B53B9F" w:rsidRDefault="00B53B9F" w:rsidP="00B53B9F">
            <w:pPr>
              <w:pStyle w:val="ListParagraph"/>
              <w:numPr>
                <w:ilvl w:val="0"/>
                <w:numId w:val="12"/>
              </w:numPr>
              <w:rPr>
                <w:rFonts w:cs="Arial"/>
              </w:rPr>
            </w:pPr>
            <w:r w:rsidRPr="00B53B9F">
              <w:rPr>
                <w:rFonts w:cs="Arial"/>
              </w:rPr>
              <w:t xml:space="preserve">In school children and young people enjoy the rights enshrined in the United Nations Convention on the Rights of the Child. </w:t>
            </w:r>
          </w:p>
          <w:p w14:paraId="7587B903" w14:textId="77777777" w:rsidR="00817BF2" w:rsidRPr="006C790E" w:rsidRDefault="00817BF2" w:rsidP="00195129">
            <w:pPr>
              <w:jc w:val="center"/>
              <w:rPr>
                <w:rFonts w:cs="Arial"/>
              </w:rPr>
            </w:pPr>
          </w:p>
          <w:p w14:paraId="72D190E9" w14:textId="77777777" w:rsidR="00817BF2" w:rsidRPr="006C790E" w:rsidRDefault="00817BF2" w:rsidP="00195129">
            <w:pPr>
              <w:jc w:val="center"/>
              <w:rPr>
                <w:rFonts w:cs="Arial"/>
              </w:rPr>
            </w:pPr>
          </w:p>
        </w:tc>
        <w:tc>
          <w:tcPr>
            <w:tcW w:w="4276" w:type="dxa"/>
          </w:tcPr>
          <w:p w14:paraId="2C4509CF" w14:textId="77777777" w:rsidR="00817BF2" w:rsidRDefault="00B53B9F" w:rsidP="00195129">
            <w:r w:rsidRPr="00B53B9F">
              <w:t xml:space="preserve">Most children and young people </w:t>
            </w:r>
            <w:proofErr w:type="gramStart"/>
            <w:r w:rsidRPr="00B53B9F">
              <w:t>are able to</w:t>
            </w:r>
            <w:proofErr w:type="gramEnd"/>
            <w:r w:rsidRPr="00B53B9F">
              <w:t xml:space="preserve"> share how school, and duty bearers, facilitate them to enjoy a wide range of their rights.</w:t>
            </w:r>
          </w:p>
          <w:p w14:paraId="66D7E0D1" w14:textId="0D0FA54C" w:rsidR="00B53B9F" w:rsidRPr="006C790E" w:rsidRDefault="00B53B9F" w:rsidP="00195129"/>
        </w:tc>
        <w:tc>
          <w:tcPr>
            <w:tcW w:w="850" w:type="dxa"/>
          </w:tcPr>
          <w:p w14:paraId="02D8A7A4" w14:textId="77777777" w:rsidR="00817BF2" w:rsidRPr="006C790E" w:rsidRDefault="00817BF2" w:rsidP="00195129"/>
          <w:p w14:paraId="4CA3FFC4" w14:textId="77777777" w:rsidR="00817BF2" w:rsidRPr="006C790E" w:rsidRDefault="00817BF2" w:rsidP="00195129"/>
        </w:tc>
        <w:tc>
          <w:tcPr>
            <w:tcW w:w="6214" w:type="dxa"/>
            <w:vMerge w:val="restart"/>
          </w:tcPr>
          <w:p w14:paraId="4A97DD18" w14:textId="77777777" w:rsidR="00817BF2" w:rsidRPr="006C790E" w:rsidRDefault="00817BF2" w:rsidP="00195129"/>
        </w:tc>
      </w:tr>
      <w:tr w:rsidR="00817BF2" w:rsidRPr="006C790E" w14:paraId="55D6E17D" w14:textId="77777777" w:rsidTr="004D344C">
        <w:trPr>
          <w:trHeight w:val="1050"/>
        </w:trPr>
        <w:tc>
          <w:tcPr>
            <w:tcW w:w="2977" w:type="dxa"/>
            <w:vMerge/>
          </w:tcPr>
          <w:p w14:paraId="7305B346" w14:textId="77777777" w:rsidR="00817BF2" w:rsidRPr="006C790E" w:rsidRDefault="00817BF2" w:rsidP="00195129">
            <w:pPr>
              <w:pStyle w:val="ListParagraph"/>
              <w:numPr>
                <w:ilvl w:val="0"/>
                <w:numId w:val="12"/>
              </w:numPr>
              <w:rPr>
                <w:rFonts w:cs="Arial"/>
              </w:rPr>
            </w:pPr>
          </w:p>
        </w:tc>
        <w:tc>
          <w:tcPr>
            <w:tcW w:w="4276" w:type="dxa"/>
          </w:tcPr>
          <w:p w14:paraId="5CB4933B" w14:textId="77777777" w:rsidR="00817BF2" w:rsidRDefault="00B53B9F" w:rsidP="00195129">
            <w:r w:rsidRPr="00B53B9F">
              <w:t>They understand the concepts of fairness and equity and can convey how their school promotes such principles and puts them into practice.</w:t>
            </w:r>
          </w:p>
          <w:p w14:paraId="0007562C" w14:textId="086318A1" w:rsidR="00B53B9F" w:rsidRPr="006C790E" w:rsidRDefault="00B53B9F" w:rsidP="00195129">
            <w:pPr>
              <w:rPr>
                <w:rFonts w:cs="Arial"/>
                <w:lang w:eastAsia="en-GB"/>
              </w:rPr>
            </w:pPr>
          </w:p>
        </w:tc>
        <w:tc>
          <w:tcPr>
            <w:tcW w:w="850" w:type="dxa"/>
          </w:tcPr>
          <w:p w14:paraId="34818E08" w14:textId="77777777" w:rsidR="00817BF2" w:rsidRPr="006C790E" w:rsidRDefault="00817BF2" w:rsidP="00195129"/>
        </w:tc>
        <w:tc>
          <w:tcPr>
            <w:tcW w:w="6214" w:type="dxa"/>
            <w:vMerge/>
          </w:tcPr>
          <w:p w14:paraId="69329DA6" w14:textId="77777777" w:rsidR="00817BF2" w:rsidRPr="006C790E" w:rsidRDefault="00817BF2" w:rsidP="00195129"/>
        </w:tc>
      </w:tr>
      <w:tr w:rsidR="00817BF2" w:rsidRPr="006C790E" w14:paraId="2267256B" w14:textId="77777777" w:rsidTr="004D344C">
        <w:trPr>
          <w:trHeight w:val="1050"/>
        </w:trPr>
        <w:tc>
          <w:tcPr>
            <w:tcW w:w="2977" w:type="dxa"/>
            <w:vMerge/>
          </w:tcPr>
          <w:p w14:paraId="2F955FBD" w14:textId="77777777" w:rsidR="00817BF2" w:rsidRPr="006C790E" w:rsidRDefault="00817BF2" w:rsidP="00195129">
            <w:pPr>
              <w:pStyle w:val="ListParagraph"/>
              <w:numPr>
                <w:ilvl w:val="0"/>
                <w:numId w:val="12"/>
              </w:numPr>
              <w:rPr>
                <w:rFonts w:cs="Arial"/>
              </w:rPr>
            </w:pPr>
          </w:p>
        </w:tc>
        <w:tc>
          <w:tcPr>
            <w:tcW w:w="4276" w:type="dxa"/>
          </w:tcPr>
          <w:p w14:paraId="40B167C9" w14:textId="77777777" w:rsidR="00817BF2" w:rsidRDefault="00B53B9F" w:rsidP="00195129">
            <w:r w:rsidRPr="00B53B9F">
              <w:t>Most children and young people know and trust that the school will act upon any concerns about their rights not being met.</w:t>
            </w:r>
          </w:p>
          <w:p w14:paraId="170DD572" w14:textId="147DFF22" w:rsidR="00B53B9F" w:rsidRPr="006C790E" w:rsidRDefault="00B53B9F" w:rsidP="00195129">
            <w:pPr>
              <w:rPr>
                <w:color w:val="00B0F0"/>
              </w:rPr>
            </w:pPr>
          </w:p>
        </w:tc>
        <w:tc>
          <w:tcPr>
            <w:tcW w:w="850" w:type="dxa"/>
          </w:tcPr>
          <w:p w14:paraId="08C23B5A" w14:textId="77777777" w:rsidR="00817BF2" w:rsidRPr="006C790E" w:rsidRDefault="00817BF2" w:rsidP="00195129"/>
        </w:tc>
        <w:tc>
          <w:tcPr>
            <w:tcW w:w="6214" w:type="dxa"/>
            <w:vMerge/>
          </w:tcPr>
          <w:p w14:paraId="1E6BA35F" w14:textId="77777777" w:rsidR="00817BF2" w:rsidRPr="006C790E" w:rsidRDefault="00817BF2" w:rsidP="00195129"/>
        </w:tc>
      </w:tr>
      <w:tr w:rsidR="00817BF2" w:rsidRPr="006C790E" w14:paraId="0A970D9A" w14:textId="77777777" w:rsidTr="004D344C">
        <w:trPr>
          <w:trHeight w:val="456"/>
        </w:trPr>
        <w:tc>
          <w:tcPr>
            <w:tcW w:w="2977" w:type="dxa"/>
            <w:vMerge w:val="restart"/>
          </w:tcPr>
          <w:p w14:paraId="6A132C4C" w14:textId="77777777" w:rsidR="00817BF2" w:rsidRPr="006C790E" w:rsidRDefault="00817BF2" w:rsidP="00195129">
            <w:pPr>
              <w:pStyle w:val="ListParagraph"/>
              <w:numPr>
                <w:ilvl w:val="0"/>
                <w:numId w:val="12"/>
              </w:numPr>
              <w:rPr>
                <w:rFonts w:cs="Arial"/>
              </w:rPr>
            </w:pPr>
            <w:r w:rsidRPr="006C790E">
              <w:rPr>
                <w:rFonts w:cs="Arial"/>
              </w:rPr>
              <w:t>Relationships are positive and founded on dignity and a mutual respect for rights.</w:t>
            </w:r>
          </w:p>
        </w:tc>
        <w:tc>
          <w:tcPr>
            <w:tcW w:w="4276" w:type="dxa"/>
          </w:tcPr>
          <w:p w14:paraId="0DBC561C" w14:textId="77777777" w:rsidR="00817BF2" w:rsidRDefault="00B53B9F" w:rsidP="00195129">
            <w:pPr>
              <w:rPr>
                <w:rFonts w:cs="Arial"/>
                <w:lang w:eastAsia="en-GB"/>
              </w:rPr>
            </w:pPr>
            <w:r w:rsidRPr="00B53B9F">
              <w:rPr>
                <w:rFonts w:cs="Arial"/>
                <w:lang w:eastAsia="en-GB"/>
              </w:rPr>
              <w:t>Relationships are identified by most children, young people and adults as mutually respectful.</w:t>
            </w:r>
          </w:p>
          <w:p w14:paraId="51EB1248" w14:textId="4FEB377B" w:rsidR="00B53B9F" w:rsidRPr="006C790E" w:rsidRDefault="00B53B9F" w:rsidP="00195129">
            <w:pPr>
              <w:rPr>
                <w:color w:val="00AEEF" w:themeColor="text1"/>
              </w:rPr>
            </w:pPr>
          </w:p>
        </w:tc>
        <w:tc>
          <w:tcPr>
            <w:tcW w:w="850" w:type="dxa"/>
          </w:tcPr>
          <w:p w14:paraId="42294393" w14:textId="77777777" w:rsidR="00817BF2" w:rsidRPr="006C790E" w:rsidRDefault="00817BF2" w:rsidP="00195129">
            <w:pPr>
              <w:rPr>
                <w:color w:val="00AEEF" w:themeColor="text1"/>
              </w:rPr>
            </w:pPr>
          </w:p>
        </w:tc>
        <w:tc>
          <w:tcPr>
            <w:tcW w:w="6214" w:type="dxa"/>
            <w:vMerge/>
          </w:tcPr>
          <w:p w14:paraId="44123C10" w14:textId="77777777" w:rsidR="00817BF2" w:rsidRPr="006C790E" w:rsidRDefault="00817BF2" w:rsidP="00195129">
            <w:pPr>
              <w:rPr>
                <w:rFonts w:cs="Arial"/>
                <w:lang w:eastAsia="en-GB"/>
              </w:rPr>
            </w:pPr>
          </w:p>
        </w:tc>
      </w:tr>
      <w:tr w:rsidR="00817BF2" w:rsidRPr="006C790E" w14:paraId="0FE95F93" w14:textId="77777777" w:rsidTr="004D344C">
        <w:trPr>
          <w:trHeight w:val="453"/>
        </w:trPr>
        <w:tc>
          <w:tcPr>
            <w:tcW w:w="2977" w:type="dxa"/>
            <w:vMerge/>
          </w:tcPr>
          <w:p w14:paraId="5FF193FA" w14:textId="77777777" w:rsidR="00817BF2" w:rsidRPr="006C790E" w:rsidRDefault="00817BF2" w:rsidP="00195129">
            <w:pPr>
              <w:pStyle w:val="ListParagraph"/>
              <w:numPr>
                <w:ilvl w:val="0"/>
                <w:numId w:val="12"/>
              </w:numPr>
              <w:rPr>
                <w:rFonts w:cs="Arial"/>
              </w:rPr>
            </w:pPr>
          </w:p>
        </w:tc>
        <w:tc>
          <w:tcPr>
            <w:tcW w:w="4276" w:type="dxa"/>
          </w:tcPr>
          <w:p w14:paraId="4205AC60" w14:textId="77777777" w:rsidR="00817BF2" w:rsidRDefault="00B53B9F" w:rsidP="00195129">
            <w:pPr>
              <w:rPr>
                <w:iCs/>
              </w:rPr>
            </w:pPr>
            <w:r w:rsidRPr="00B53B9F">
              <w:rPr>
                <w:iCs/>
              </w:rPr>
              <w:t xml:space="preserve">There is evidence that respectful relationships are strengthening over time. </w:t>
            </w:r>
          </w:p>
          <w:p w14:paraId="50A01322" w14:textId="7E4BEE66" w:rsidR="00B53B9F" w:rsidRPr="006C790E" w:rsidRDefault="00B53B9F" w:rsidP="00195129">
            <w:pPr>
              <w:rPr>
                <w:color w:val="00AEEF" w:themeColor="text1"/>
              </w:rPr>
            </w:pPr>
          </w:p>
        </w:tc>
        <w:tc>
          <w:tcPr>
            <w:tcW w:w="850" w:type="dxa"/>
          </w:tcPr>
          <w:p w14:paraId="280AE2A2" w14:textId="77777777" w:rsidR="00817BF2" w:rsidRPr="006C790E" w:rsidRDefault="00817BF2" w:rsidP="00195129">
            <w:pPr>
              <w:rPr>
                <w:color w:val="00AEEF" w:themeColor="text1"/>
              </w:rPr>
            </w:pPr>
          </w:p>
        </w:tc>
        <w:tc>
          <w:tcPr>
            <w:tcW w:w="6214" w:type="dxa"/>
            <w:vMerge/>
          </w:tcPr>
          <w:p w14:paraId="44A52E2D" w14:textId="77777777" w:rsidR="00817BF2" w:rsidRPr="006C790E" w:rsidRDefault="00817BF2" w:rsidP="00195129">
            <w:pPr>
              <w:rPr>
                <w:rFonts w:cs="Arial"/>
                <w:lang w:eastAsia="en-GB"/>
              </w:rPr>
            </w:pPr>
          </w:p>
        </w:tc>
      </w:tr>
      <w:tr w:rsidR="00817BF2" w:rsidRPr="006C790E" w14:paraId="32E0CEC5" w14:textId="77777777" w:rsidTr="004D344C">
        <w:trPr>
          <w:trHeight w:val="453"/>
        </w:trPr>
        <w:tc>
          <w:tcPr>
            <w:tcW w:w="2977" w:type="dxa"/>
            <w:vMerge/>
          </w:tcPr>
          <w:p w14:paraId="07043B1C" w14:textId="77777777" w:rsidR="00817BF2" w:rsidRPr="006C790E" w:rsidRDefault="00817BF2" w:rsidP="00195129">
            <w:pPr>
              <w:pStyle w:val="ListParagraph"/>
              <w:numPr>
                <w:ilvl w:val="0"/>
                <w:numId w:val="12"/>
              </w:numPr>
              <w:rPr>
                <w:rFonts w:cs="Arial"/>
              </w:rPr>
            </w:pPr>
          </w:p>
        </w:tc>
        <w:tc>
          <w:tcPr>
            <w:tcW w:w="4276" w:type="dxa"/>
          </w:tcPr>
          <w:p w14:paraId="485C5732" w14:textId="65F179D1" w:rsidR="00817BF2" w:rsidRDefault="00B53B9F" w:rsidP="00195129">
            <w:r w:rsidRPr="00B53B9F">
              <w:t xml:space="preserve">Many children and young people understand the concept of dignity </w:t>
            </w:r>
            <w:r w:rsidRPr="00B53B9F">
              <w:lastRenderedPageBreak/>
              <w:t>through their lived experience.</w:t>
            </w:r>
            <w:r>
              <w:t xml:space="preserve"> </w:t>
            </w:r>
            <w:r>
              <w:t>They can express how dignity and rights explicitly inform life in school.</w:t>
            </w:r>
          </w:p>
          <w:p w14:paraId="1989F195" w14:textId="77777777" w:rsidR="00817BF2" w:rsidRPr="006C790E" w:rsidRDefault="00817BF2" w:rsidP="00195129">
            <w:pPr>
              <w:rPr>
                <w:color w:val="00AEEF" w:themeColor="text1"/>
              </w:rPr>
            </w:pPr>
          </w:p>
        </w:tc>
        <w:tc>
          <w:tcPr>
            <w:tcW w:w="850" w:type="dxa"/>
          </w:tcPr>
          <w:p w14:paraId="5C05A17E" w14:textId="77777777" w:rsidR="00817BF2" w:rsidRPr="006C790E" w:rsidRDefault="00817BF2" w:rsidP="00195129">
            <w:pPr>
              <w:rPr>
                <w:color w:val="00AEEF" w:themeColor="text1"/>
              </w:rPr>
            </w:pPr>
          </w:p>
        </w:tc>
        <w:tc>
          <w:tcPr>
            <w:tcW w:w="6214" w:type="dxa"/>
            <w:vMerge/>
          </w:tcPr>
          <w:p w14:paraId="5F1139BC" w14:textId="77777777" w:rsidR="00817BF2" w:rsidRPr="006C790E" w:rsidRDefault="00817BF2" w:rsidP="00195129">
            <w:pPr>
              <w:rPr>
                <w:rFonts w:cs="Arial"/>
                <w:lang w:eastAsia="en-GB"/>
              </w:rPr>
            </w:pPr>
          </w:p>
        </w:tc>
      </w:tr>
      <w:tr w:rsidR="00817BF2" w:rsidRPr="006C790E" w14:paraId="5389B755" w14:textId="77777777" w:rsidTr="004D344C">
        <w:trPr>
          <w:trHeight w:val="453"/>
        </w:trPr>
        <w:tc>
          <w:tcPr>
            <w:tcW w:w="2977" w:type="dxa"/>
            <w:vMerge/>
          </w:tcPr>
          <w:p w14:paraId="75691D80" w14:textId="77777777" w:rsidR="00817BF2" w:rsidRPr="006C790E" w:rsidRDefault="00817BF2" w:rsidP="00195129">
            <w:pPr>
              <w:pStyle w:val="ListParagraph"/>
              <w:numPr>
                <w:ilvl w:val="0"/>
                <w:numId w:val="12"/>
              </w:numPr>
              <w:rPr>
                <w:rFonts w:cs="Arial"/>
              </w:rPr>
            </w:pPr>
          </w:p>
        </w:tc>
        <w:tc>
          <w:tcPr>
            <w:tcW w:w="4276" w:type="dxa"/>
          </w:tcPr>
          <w:p w14:paraId="48627683" w14:textId="77777777" w:rsidR="00817BF2" w:rsidRDefault="00B53B9F" w:rsidP="00195129">
            <w:r w:rsidRPr="00B53B9F">
              <w:t xml:space="preserve">School systems to address disagreements, conflict and prejudicial attitudes and actions are perceived as transparent, fair and effective by children and adults. </w:t>
            </w:r>
          </w:p>
          <w:p w14:paraId="28B7507C" w14:textId="39DC02C1" w:rsidR="00B53B9F" w:rsidRPr="006C790E" w:rsidRDefault="00B53B9F" w:rsidP="00195129">
            <w:pPr>
              <w:rPr>
                <w:color w:val="00AEEF" w:themeColor="text1"/>
              </w:rPr>
            </w:pPr>
          </w:p>
        </w:tc>
        <w:tc>
          <w:tcPr>
            <w:tcW w:w="850" w:type="dxa"/>
          </w:tcPr>
          <w:p w14:paraId="1B9775D2" w14:textId="77777777" w:rsidR="00817BF2" w:rsidRPr="006C790E" w:rsidRDefault="00817BF2" w:rsidP="00195129">
            <w:pPr>
              <w:rPr>
                <w:color w:val="00AEEF" w:themeColor="text1"/>
              </w:rPr>
            </w:pPr>
          </w:p>
        </w:tc>
        <w:tc>
          <w:tcPr>
            <w:tcW w:w="6214" w:type="dxa"/>
            <w:vMerge/>
          </w:tcPr>
          <w:p w14:paraId="1C8FCBCA" w14:textId="77777777" w:rsidR="00817BF2" w:rsidRPr="006C790E" w:rsidRDefault="00817BF2" w:rsidP="00195129">
            <w:pPr>
              <w:rPr>
                <w:rFonts w:cs="Arial"/>
                <w:lang w:eastAsia="en-GB"/>
              </w:rPr>
            </w:pPr>
          </w:p>
        </w:tc>
      </w:tr>
      <w:tr w:rsidR="00817BF2" w:rsidRPr="006C790E" w14:paraId="31637BA6" w14:textId="77777777" w:rsidTr="004D344C">
        <w:trPr>
          <w:trHeight w:val="954"/>
        </w:trPr>
        <w:tc>
          <w:tcPr>
            <w:tcW w:w="2977" w:type="dxa"/>
            <w:vMerge w:val="restart"/>
          </w:tcPr>
          <w:p w14:paraId="654B257F" w14:textId="77777777" w:rsidR="00817BF2" w:rsidRPr="006C790E" w:rsidRDefault="00817BF2" w:rsidP="00195129">
            <w:pPr>
              <w:pStyle w:val="ListParagraph"/>
              <w:numPr>
                <w:ilvl w:val="0"/>
                <w:numId w:val="12"/>
              </w:numPr>
              <w:rPr>
                <w:rFonts w:cs="Arial"/>
              </w:rPr>
            </w:pPr>
            <w:r w:rsidRPr="006C790E">
              <w:rPr>
                <w:rFonts w:cs="Arial"/>
              </w:rPr>
              <w:t>Children and young people are safe and protected and know what to do if they need support</w:t>
            </w:r>
            <w:r w:rsidRPr="006C790E">
              <w:t>.</w:t>
            </w:r>
          </w:p>
        </w:tc>
        <w:tc>
          <w:tcPr>
            <w:tcW w:w="4276" w:type="dxa"/>
          </w:tcPr>
          <w:p w14:paraId="1155FC0B" w14:textId="77777777" w:rsidR="00817BF2" w:rsidRDefault="00B53B9F" w:rsidP="00195129">
            <w:pPr>
              <w:rPr>
                <w:rFonts w:cs="Arial"/>
                <w:lang w:eastAsia="en-GB"/>
              </w:rPr>
            </w:pPr>
            <w:r w:rsidRPr="00B53B9F">
              <w:rPr>
                <w:rFonts w:cs="Arial"/>
                <w:lang w:eastAsia="en-GB"/>
              </w:rPr>
              <w:t xml:space="preserve">Nearly all children and young people share that they feel safe at school and can describe how becoming rights respecting contributes to this. </w:t>
            </w:r>
          </w:p>
          <w:p w14:paraId="52BF817A" w14:textId="3B88FCC6" w:rsidR="00B53B9F" w:rsidRPr="006C790E" w:rsidRDefault="00B53B9F" w:rsidP="00195129"/>
        </w:tc>
        <w:tc>
          <w:tcPr>
            <w:tcW w:w="850" w:type="dxa"/>
          </w:tcPr>
          <w:p w14:paraId="17D709BA" w14:textId="77777777" w:rsidR="00817BF2" w:rsidRPr="006C790E" w:rsidRDefault="00817BF2" w:rsidP="00195129">
            <w:pPr>
              <w:rPr>
                <w:color w:val="00AEEF" w:themeColor="text1"/>
              </w:rPr>
            </w:pPr>
          </w:p>
        </w:tc>
        <w:tc>
          <w:tcPr>
            <w:tcW w:w="6214" w:type="dxa"/>
            <w:vMerge/>
          </w:tcPr>
          <w:p w14:paraId="2F9CE755" w14:textId="77777777" w:rsidR="00817BF2" w:rsidRPr="006C790E" w:rsidRDefault="00817BF2" w:rsidP="00195129"/>
        </w:tc>
      </w:tr>
      <w:tr w:rsidR="00817BF2" w:rsidRPr="006C790E" w14:paraId="6AF766B3" w14:textId="77777777" w:rsidTr="004D344C">
        <w:trPr>
          <w:trHeight w:val="480"/>
        </w:trPr>
        <w:tc>
          <w:tcPr>
            <w:tcW w:w="2977" w:type="dxa"/>
            <w:vMerge/>
          </w:tcPr>
          <w:p w14:paraId="508B6BFE" w14:textId="77777777" w:rsidR="00817BF2" w:rsidRPr="006C790E" w:rsidRDefault="00817BF2" w:rsidP="00195129">
            <w:pPr>
              <w:pStyle w:val="ListParagraph"/>
              <w:numPr>
                <w:ilvl w:val="0"/>
                <w:numId w:val="12"/>
              </w:numPr>
              <w:rPr>
                <w:rFonts w:cs="Arial"/>
              </w:rPr>
            </w:pPr>
          </w:p>
        </w:tc>
        <w:tc>
          <w:tcPr>
            <w:tcW w:w="4276" w:type="dxa"/>
          </w:tcPr>
          <w:p w14:paraId="357DC3ED" w14:textId="77777777" w:rsidR="00817BF2" w:rsidRDefault="00B53B9F" w:rsidP="00195129">
            <w:pPr>
              <w:autoSpaceDE w:val="0"/>
              <w:autoSpaceDN w:val="0"/>
              <w:adjustRightInd w:val="0"/>
            </w:pPr>
            <w:r w:rsidRPr="00B53B9F">
              <w:t xml:space="preserve">The school can show that bullying, violent and discriminatory behaviour is rare (or steadily declining). </w:t>
            </w:r>
          </w:p>
          <w:p w14:paraId="09F923C6" w14:textId="291C15D1" w:rsidR="00B53B9F" w:rsidRPr="006C790E" w:rsidRDefault="00B53B9F" w:rsidP="00195129">
            <w:pPr>
              <w:autoSpaceDE w:val="0"/>
              <w:autoSpaceDN w:val="0"/>
              <w:adjustRightInd w:val="0"/>
              <w:rPr>
                <w:color w:val="00AEEF" w:themeColor="text1"/>
              </w:rPr>
            </w:pPr>
          </w:p>
        </w:tc>
        <w:tc>
          <w:tcPr>
            <w:tcW w:w="850" w:type="dxa"/>
          </w:tcPr>
          <w:p w14:paraId="35DE1907" w14:textId="77777777" w:rsidR="00817BF2" w:rsidRPr="006C790E" w:rsidRDefault="00817BF2" w:rsidP="00195129">
            <w:pPr>
              <w:rPr>
                <w:color w:val="00AEEF" w:themeColor="text1"/>
              </w:rPr>
            </w:pPr>
          </w:p>
        </w:tc>
        <w:tc>
          <w:tcPr>
            <w:tcW w:w="6214" w:type="dxa"/>
            <w:vMerge/>
          </w:tcPr>
          <w:p w14:paraId="247300EE" w14:textId="77777777" w:rsidR="00817BF2" w:rsidRPr="006C790E" w:rsidRDefault="00817BF2" w:rsidP="00195129"/>
        </w:tc>
      </w:tr>
      <w:tr w:rsidR="00817BF2" w:rsidRPr="006C790E" w14:paraId="6F1ADE1F" w14:textId="77777777" w:rsidTr="004D344C">
        <w:trPr>
          <w:trHeight w:val="480"/>
        </w:trPr>
        <w:tc>
          <w:tcPr>
            <w:tcW w:w="2977" w:type="dxa"/>
            <w:vMerge/>
          </w:tcPr>
          <w:p w14:paraId="302BE2BB" w14:textId="77777777" w:rsidR="00817BF2" w:rsidRPr="006C790E" w:rsidRDefault="00817BF2" w:rsidP="00195129">
            <w:pPr>
              <w:pStyle w:val="ListParagraph"/>
              <w:numPr>
                <w:ilvl w:val="0"/>
                <w:numId w:val="12"/>
              </w:numPr>
              <w:rPr>
                <w:rFonts w:cs="Arial"/>
              </w:rPr>
            </w:pPr>
          </w:p>
        </w:tc>
        <w:tc>
          <w:tcPr>
            <w:tcW w:w="4276" w:type="dxa"/>
          </w:tcPr>
          <w:p w14:paraId="02270567" w14:textId="77777777" w:rsidR="00817BF2" w:rsidRDefault="00B53B9F" w:rsidP="00195129">
            <w:pPr>
              <w:rPr>
                <w:rFonts w:cs="Arial"/>
              </w:rPr>
            </w:pPr>
            <w:r w:rsidRPr="00B53B9F">
              <w:rPr>
                <w:rFonts w:cs="Arial"/>
              </w:rPr>
              <w:t>Most children and young people have trust in the school systems that enable them to report any sense of not feeling safe both within and beyond school.</w:t>
            </w:r>
          </w:p>
          <w:p w14:paraId="5D1918E1" w14:textId="745BD5D3" w:rsidR="00B53B9F" w:rsidRPr="006C790E" w:rsidRDefault="00B53B9F" w:rsidP="00195129">
            <w:pPr>
              <w:rPr>
                <w:color w:val="00AEEF" w:themeColor="text1"/>
              </w:rPr>
            </w:pPr>
          </w:p>
        </w:tc>
        <w:tc>
          <w:tcPr>
            <w:tcW w:w="850" w:type="dxa"/>
          </w:tcPr>
          <w:p w14:paraId="26DC67B3" w14:textId="77777777" w:rsidR="00817BF2" w:rsidRPr="006C790E" w:rsidRDefault="00817BF2" w:rsidP="00195129">
            <w:pPr>
              <w:rPr>
                <w:color w:val="00AEEF" w:themeColor="text1"/>
              </w:rPr>
            </w:pPr>
          </w:p>
        </w:tc>
        <w:tc>
          <w:tcPr>
            <w:tcW w:w="6214" w:type="dxa"/>
            <w:vMerge/>
          </w:tcPr>
          <w:p w14:paraId="70831072" w14:textId="77777777" w:rsidR="00817BF2" w:rsidRPr="006C790E" w:rsidRDefault="00817BF2" w:rsidP="00195129"/>
        </w:tc>
      </w:tr>
      <w:tr w:rsidR="00817BF2" w:rsidRPr="006C790E" w14:paraId="51522FB5" w14:textId="77777777" w:rsidTr="004D344C">
        <w:trPr>
          <w:trHeight w:val="630"/>
        </w:trPr>
        <w:tc>
          <w:tcPr>
            <w:tcW w:w="2977" w:type="dxa"/>
          </w:tcPr>
          <w:p w14:paraId="74C83D13" w14:textId="52BF3D25" w:rsidR="00817BF2" w:rsidRPr="006C790E" w:rsidRDefault="00B53B9F" w:rsidP="00195129">
            <w:pPr>
              <w:pStyle w:val="ListParagraph"/>
              <w:numPr>
                <w:ilvl w:val="0"/>
                <w:numId w:val="12"/>
              </w:numPr>
              <w:rPr>
                <w:rFonts w:cs="Arial"/>
              </w:rPr>
            </w:pPr>
            <w:r w:rsidRPr="00B53B9F">
              <w:rPr>
                <w:rFonts w:cs="Arial"/>
              </w:rPr>
              <w:t>Children’s social and emotional wellbeing is a priority. They learn to develop healthy lifestyles.</w:t>
            </w:r>
          </w:p>
        </w:tc>
        <w:tc>
          <w:tcPr>
            <w:tcW w:w="4276" w:type="dxa"/>
          </w:tcPr>
          <w:p w14:paraId="40DBFECF" w14:textId="77777777" w:rsidR="00817BF2" w:rsidRDefault="00817BF2" w:rsidP="00195129">
            <w:pPr>
              <w:rPr>
                <w:rFonts w:cs="Arial"/>
              </w:rPr>
            </w:pPr>
            <w:r w:rsidRPr="006C790E">
              <w:rPr>
                <w:rFonts w:cs="Arial"/>
              </w:rPr>
              <w:t>Most children and young people can describe how the school provides information and support for a range of physical, social and emotional needs.</w:t>
            </w:r>
          </w:p>
          <w:p w14:paraId="52CB1D3F" w14:textId="77777777" w:rsidR="00817BF2" w:rsidRPr="006C790E" w:rsidRDefault="00817BF2" w:rsidP="00195129"/>
        </w:tc>
        <w:tc>
          <w:tcPr>
            <w:tcW w:w="850" w:type="dxa"/>
          </w:tcPr>
          <w:p w14:paraId="552DCFC1" w14:textId="77777777" w:rsidR="00817BF2" w:rsidRPr="006C790E" w:rsidRDefault="00817BF2" w:rsidP="00195129">
            <w:pPr>
              <w:rPr>
                <w:rFonts w:cs="Arial"/>
                <w:lang w:eastAsia="en-GB"/>
              </w:rPr>
            </w:pPr>
          </w:p>
        </w:tc>
        <w:tc>
          <w:tcPr>
            <w:tcW w:w="6214" w:type="dxa"/>
            <w:vMerge/>
          </w:tcPr>
          <w:p w14:paraId="5987FF18" w14:textId="77777777" w:rsidR="00817BF2" w:rsidRPr="006C790E" w:rsidRDefault="00817BF2" w:rsidP="00195129"/>
        </w:tc>
      </w:tr>
      <w:tr w:rsidR="00817BF2" w:rsidRPr="006C790E" w14:paraId="2F36B302" w14:textId="77777777" w:rsidTr="004D344C">
        <w:trPr>
          <w:trHeight w:val="630"/>
        </w:trPr>
        <w:tc>
          <w:tcPr>
            <w:tcW w:w="2977" w:type="dxa"/>
            <w:vMerge w:val="restart"/>
          </w:tcPr>
          <w:p w14:paraId="58FD137C" w14:textId="77777777" w:rsidR="00817BF2" w:rsidRPr="006C790E" w:rsidRDefault="00817BF2" w:rsidP="00195129">
            <w:pPr>
              <w:pStyle w:val="ListParagraph"/>
              <w:numPr>
                <w:ilvl w:val="0"/>
                <w:numId w:val="12"/>
              </w:numPr>
              <w:rPr>
                <w:rFonts w:cs="Arial"/>
              </w:rPr>
            </w:pPr>
            <w:r w:rsidRPr="006C790E">
              <w:rPr>
                <w:rFonts w:cs="Arial"/>
              </w:rPr>
              <w:t>All children and young people are included and are valued as individuals</w:t>
            </w:r>
            <w:r w:rsidRPr="006C790E">
              <w:t>.</w:t>
            </w:r>
          </w:p>
        </w:tc>
        <w:tc>
          <w:tcPr>
            <w:tcW w:w="4276" w:type="dxa"/>
          </w:tcPr>
          <w:p w14:paraId="5628B260" w14:textId="77777777" w:rsidR="00817BF2" w:rsidRDefault="0038130C" w:rsidP="00195129">
            <w:pPr>
              <w:rPr>
                <w:rFonts w:cs="Arial"/>
                <w:lang w:eastAsia="en-GB"/>
              </w:rPr>
            </w:pPr>
            <w:r w:rsidRPr="0038130C">
              <w:rPr>
                <w:rFonts w:cs="Arial"/>
                <w:lang w:eastAsia="en-GB"/>
              </w:rPr>
              <w:t>Nearly all children and young people interviewed describe how everyone is included and valued and acknowledge how becoming rights respecting contributes to this.</w:t>
            </w:r>
          </w:p>
          <w:p w14:paraId="0585B62A" w14:textId="49E0F520" w:rsidR="0038130C" w:rsidRPr="006C790E" w:rsidRDefault="0038130C" w:rsidP="00195129"/>
        </w:tc>
        <w:tc>
          <w:tcPr>
            <w:tcW w:w="850" w:type="dxa"/>
          </w:tcPr>
          <w:p w14:paraId="75AA0D4C" w14:textId="77777777" w:rsidR="00817BF2" w:rsidRPr="006C790E" w:rsidRDefault="00817BF2" w:rsidP="00195129">
            <w:pPr>
              <w:rPr>
                <w:rFonts w:cs="Arial"/>
                <w:lang w:eastAsia="en-GB"/>
              </w:rPr>
            </w:pPr>
          </w:p>
        </w:tc>
        <w:tc>
          <w:tcPr>
            <w:tcW w:w="6214" w:type="dxa"/>
            <w:vMerge/>
          </w:tcPr>
          <w:p w14:paraId="17CD049D" w14:textId="77777777" w:rsidR="00817BF2" w:rsidRPr="006C790E" w:rsidRDefault="00817BF2" w:rsidP="00195129"/>
        </w:tc>
      </w:tr>
      <w:tr w:rsidR="00817BF2" w:rsidRPr="006C790E" w14:paraId="1CE08C4F" w14:textId="77777777" w:rsidTr="004D344C">
        <w:trPr>
          <w:trHeight w:val="630"/>
        </w:trPr>
        <w:tc>
          <w:tcPr>
            <w:tcW w:w="2977" w:type="dxa"/>
            <w:vMerge/>
          </w:tcPr>
          <w:p w14:paraId="607E2180" w14:textId="77777777" w:rsidR="00817BF2" w:rsidRPr="006C790E" w:rsidRDefault="00817BF2" w:rsidP="00195129">
            <w:pPr>
              <w:pStyle w:val="ListParagraph"/>
              <w:numPr>
                <w:ilvl w:val="0"/>
                <w:numId w:val="12"/>
              </w:numPr>
              <w:rPr>
                <w:rFonts w:cs="Arial"/>
              </w:rPr>
            </w:pPr>
          </w:p>
        </w:tc>
        <w:tc>
          <w:tcPr>
            <w:tcW w:w="4276" w:type="dxa"/>
          </w:tcPr>
          <w:p w14:paraId="5DC5D2B2" w14:textId="77777777" w:rsidR="00817BF2" w:rsidRDefault="0038130C" w:rsidP="00195129">
            <w:r w:rsidRPr="0038130C">
              <w:t>The school is actively working towards (or is sustaining) a strong culture of inclusion and can show how this is underpinned by non-discrimination.</w:t>
            </w:r>
          </w:p>
          <w:p w14:paraId="3A70C853" w14:textId="5D8BF86A" w:rsidR="0038130C" w:rsidRPr="006C790E" w:rsidRDefault="0038130C" w:rsidP="00195129">
            <w:pPr>
              <w:rPr>
                <w:rFonts w:cs="Arial"/>
                <w:lang w:eastAsia="en-GB"/>
              </w:rPr>
            </w:pPr>
          </w:p>
        </w:tc>
        <w:tc>
          <w:tcPr>
            <w:tcW w:w="850" w:type="dxa"/>
          </w:tcPr>
          <w:p w14:paraId="13C1F6CA" w14:textId="77777777" w:rsidR="00817BF2" w:rsidRPr="006C790E" w:rsidRDefault="00817BF2" w:rsidP="00195129">
            <w:pPr>
              <w:rPr>
                <w:rFonts w:cs="Arial"/>
                <w:lang w:eastAsia="en-GB"/>
              </w:rPr>
            </w:pPr>
          </w:p>
        </w:tc>
        <w:tc>
          <w:tcPr>
            <w:tcW w:w="6214" w:type="dxa"/>
            <w:vMerge/>
          </w:tcPr>
          <w:p w14:paraId="132566AC" w14:textId="77777777" w:rsidR="00817BF2" w:rsidRPr="006C790E" w:rsidRDefault="00817BF2" w:rsidP="00195129"/>
        </w:tc>
      </w:tr>
      <w:tr w:rsidR="00817BF2" w:rsidRPr="006C790E" w14:paraId="7EBF4493" w14:textId="77777777" w:rsidTr="004D344C">
        <w:trPr>
          <w:trHeight w:val="690"/>
        </w:trPr>
        <w:tc>
          <w:tcPr>
            <w:tcW w:w="2977" w:type="dxa"/>
            <w:vMerge w:val="restart"/>
          </w:tcPr>
          <w:p w14:paraId="6D737289" w14:textId="73285D90" w:rsidR="00817BF2" w:rsidRPr="006C790E" w:rsidRDefault="0038130C" w:rsidP="00195129">
            <w:pPr>
              <w:pStyle w:val="ListParagraph"/>
              <w:numPr>
                <w:ilvl w:val="0"/>
                <w:numId w:val="12"/>
              </w:numPr>
              <w:rPr>
                <w:rFonts w:cs="Arial"/>
              </w:rPr>
            </w:pPr>
            <w:r w:rsidRPr="0038130C">
              <w:rPr>
                <w:rFonts w:cs="Arial"/>
              </w:rPr>
              <w:t>Children and young people value education and are involved in making decisions about their learning.</w:t>
            </w:r>
          </w:p>
        </w:tc>
        <w:tc>
          <w:tcPr>
            <w:tcW w:w="4276" w:type="dxa"/>
          </w:tcPr>
          <w:p w14:paraId="03131FEF" w14:textId="77777777" w:rsidR="00817BF2" w:rsidRDefault="0038130C" w:rsidP="00195129">
            <w:r w:rsidRPr="0038130C">
              <w:t xml:space="preserve">Most children and young people demonstrate their commitment to the right of others to learn and can describe how they actively respect this right. </w:t>
            </w:r>
          </w:p>
          <w:p w14:paraId="27D43F3E" w14:textId="45770BF9" w:rsidR="0038130C" w:rsidRPr="006C790E" w:rsidRDefault="0038130C" w:rsidP="00195129">
            <w:pPr>
              <w:rPr>
                <w:color w:val="00AEEF" w:themeColor="text1"/>
              </w:rPr>
            </w:pPr>
          </w:p>
        </w:tc>
        <w:tc>
          <w:tcPr>
            <w:tcW w:w="850" w:type="dxa"/>
          </w:tcPr>
          <w:p w14:paraId="148AF3CF" w14:textId="77777777" w:rsidR="00817BF2" w:rsidRPr="006C790E" w:rsidRDefault="00817BF2" w:rsidP="00195129">
            <w:pPr>
              <w:rPr>
                <w:color w:val="00AEEF" w:themeColor="text1"/>
              </w:rPr>
            </w:pPr>
          </w:p>
        </w:tc>
        <w:tc>
          <w:tcPr>
            <w:tcW w:w="6214" w:type="dxa"/>
            <w:vMerge/>
          </w:tcPr>
          <w:p w14:paraId="31B819B7" w14:textId="77777777" w:rsidR="00817BF2" w:rsidRPr="006C790E" w:rsidRDefault="00817BF2" w:rsidP="00195129"/>
        </w:tc>
      </w:tr>
      <w:tr w:rsidR="00817BF2" w:rsidRPr="006C790E" w14:paraId="6F27076D" w14:textId="77777777" w:rsidTr="004D344C">
        <w:trPr>
          <w:trHeight w:val="841"/>
        </w:trPr>
        <w:tc>
          <w:tcPr>
            <w:tcW w:w="2977" w:type="dxa"/>
            <w:vMerge/>
          </w:tcPr>
          <w:p w14:paraId="0AB6C1B7" w14:textId="77777777" w:rsidR="00817BF2" w:rsidRPr="006C790E" w:rsidRDefault="00817BF2" w:rsidP="00195129">
            <w:pPr>
              <w:pStyle w:val="ListParagraph"/>
              <w:numPr>
                <w:ilvl w:val="0"/>
                <w:numId w:val="12"/>
              </w:numPr>
              <w:rPr>
                <w:rFonts w:cs="Arial"/>
              </w:rPr>
            </w:pPr>
          </w:p>
        </w:tc>
        <w:tc>
          <w:tcPr>
            <w:tcW w:w="4276" w:type="dxa"/>
          </w:tcPr>
          <w:p w14:paraId="7A9395C1" w14:textId="77777777" w:rsidR="00817BF2" w:rsidRDefault="0038130C" w:rsidP="00195129">
            <w:pPr>
              <w:rPr>
                <w:rFonts w:cs="Arial"/>
                <w:lang w:eastAsia="en-GB"/>
              </w:rPr>
            </w:pPr>
            <w:r w:rsidRPr="0038130C">
              <w:rPr>
                <w:rFonts w:cs="Arial"/>
                <w:lang w:eastAsia="en-GB"/>
              </w:rPr>
              <w:t xml:space="preserve">Nearly all children and young people express how they play an active role in their learning. </w:t>
            </w:r>
          </w:p>
          <w:p w14:paraId="42E34E78" w14:textId="08CB4E9D" w:rsidR="0038130C" w:rsidRPr="006C790E" w:rsidRDefault="0038130C" w:rsidP="00195129">
            <w:pPr>
              <w:rPr>
                <w:rFonts w:cs="Arial"/>
                <w:lang w:eastAsia="en-GB"/>
              </w:rPr>
            </w:pPr>
          </w:p>
        </w:tc>
        <w:tc>
          <w:tcPr>
            <w:tcW w:w="850" w:type="dxa"/>
          </w:tcPr>
          <w:p w14:paraId="254624FE" w14:textId="77777777" w:rsidR="00817BF2" w:rsidRPr="006C790E" w:rsidRDefault="00817BF2" w:rsidP="00195129">
            <w:pPr>
              <w:rPr>
                <w:color w:val="00AEEF" w:themeColor="text1"/>
              </w:rPr>
            </w:pPr>
          </w:p>
        </w:tc>
        <w:tc>
          <w:tcPr>
            <w:tcW w:w="6214" w:type="dxa"/>
            <w:vMerge/>
          </w:tcPr>
          <w:p w14:paraId="0F05DE1F" w14:textId="77777777" w:rsidR="00817BF2" w:rsidRPr="006C790E" w:rsidRDefault="00817BF2" w:rsidP="00195129"/>
        </w:tc>
      </w:tr>
    </w:tbl>
    <w:p w14:paraId="700325CD" w14:textId="77777777" w:rsidR="00817BF2" w:rsidRDefault="00817BF2" w:rsidP="006607D6"/>
    <w:p w14:paraId="75B51AD9" w14:textId="77777777" w:rsidR="00817BF2" w:rsidRDefault="00817BF2">
      <w:r>
        <w:br w:type="page"/>
      </w:r>
    </w:p>
    <w:tbl>
      <w:tblPr>
        <w:tblStyle w:val="TableGrid"/>
        <w:tblW w:w="14317" w:type="dxa"/>
        <w:tblInd w:w="562" w:type="dxa"/>
        <w:tblLayout w:type="fixed"/>
        <w:tblLook w:val="04A0" w:firstRow="1" w:lastRow="0" w:firstColumn="1" w:lastColumn="0" w:noHBand="0" w:noVBand="1"/>
      </w:tblPr>
      <w:tblGrid>
        <w:gridCol w:w="2847"/>
        <w:gridCol w:w="4406"/>
        <w:gridCol w:w="850"/>
        <w:gridCol w:w="6214"/>
      </w:tblGrid>
      <w:tr w:rsidR="00817BF2" w:rsidRPr="006C790E" w14:paraId="378F5CCA" w14:textId="77777777" w:rsidTr="004D344C">
        <w:trPr>
          <w:trHeight w:val="1266"/>
        </w:trPr>
        <w:tc>
          <w:tcPr>
            <w:tcW w:w="14317" w:type="dxa"/>
            <w:gridSpan w:val="4"/>
          </w:tcPr>
          <w:p w14:paraId="3FD3F7DC" w14:textId="77777777" w:rsidR="00817BF2" w:rsidRPr="00684680" w:rsidRDefault="00817BF2" w:rsidP="00195129">
            <w:pPr>
              <w:pStyle w:val="Heading1"/>
              <w:outlineLvl w:val="0"/>
              <w:rPr>
                <w:sz w:val="28"/>
              </w:rPr>
            </w:pPr>
            <w:r w:rsidRPr="006C790E">
              <w:rPr>
                <w:rFonts w:eastAsiaTheme="minorHAnsi" w:cstheme="minorBidi"/>
                <w:bCs w:val="0"/>
                <w:caps w:val="0"/>
                <w:color w:val="auto"/>
                <w:spacing w:val="0"/>
                <w:sz w:val="22"/>
                <w:szCs w:val="22"/>
              </w:rPr>
              <w:lastRenderedPageBreak/>
              <w:br w:type="page"/>
            </w:r>
            <w:r w:rsidRPr="00684680">
              <w:rPr>
                <w:sz w:val="36"/>
              </w:rPr>
              <w:t>Strand c: Teaching and learning for rights – participation, empowerment and action</w:t>
            </w:r>
          </w:p>
          <w:p w14:paraId="41D884AB" w14:textId="77777777" w:rsidR="00817BF2" w:rsidRPr="006C790E" w:rsidRDefault="00817BF2" w:rsidP="00195129">
            <w:pPr>
              <w:pStyle w:val="ListParagraph"/>
              <w:numPr>
                <w:ilvl w:val="0"/>
                <w:numId w:val="0"/>
              </w:numPr>
              <w:ind w:left="29"/>
              <w:jc w:val="both"/>
            </w:pPr>
            <w:r w:rsidRPr="006C790E">
              <w:t xml:space="preserve">Children are empowered to enjoy and exercise their rights and to promote the rights of others locally and globally. Duty bearers are accountable for ensuring that children experience their rights.  </w:t>
            </w:r>
          </w:p>
          <w:p w14:paraId="2A66747B" w14:textId="77777777" w:rsidR="00817BF2" w:rsidRPr="006C790E" w:rsidRDefault="00817BF2" w:rsidP="00195129">
            <w:pPr>
              <w:pStyle w:val="ListParagraph"/>
              <w:numPr>
                <w:ilvl w:val="0"/>
                <w:numId w:val="0"/>
              </w:numPr>
              <w:ind w:left="360"/>
            </w:pPr>
          </w:p>
        </w:tc>
      </w:tr>
      <w:tr w:rsidR="00817BF2" w:rsidRPr="006C790E" w14:paraId="060CB287" w14:textId="77777777" w:rsidTr="004D344C">
        <w:trPr>
          <w:trHeight w:val="637"/>
          <w:tblHeader/>
        </w:trPr>
        <w:tc>
          <w:tcPr>
            <w:tcW w:w="2847" w:type="dxa"/>
          </w:tcPr>
          <w:p w14:paraId="11E77D83" w14:textId="77777777" w:rsidR="00817BF2" w:rsidRPr="006C790E" w:rsidRDefault="00817BF2" w:rsidP="00195129">
            <w:pPr>
              <w:pStyle w:val="Heading2"/>
              <w:jc w:val="center"/>
              <w:outlineLvl w:val="1"/>
            </w:pPr>
            <w:r>
              <w:t>Outcome</w:t>
            </w:r>
          </w:p>
        </w:tc>
        <w:tc>
          <w:tcPr>
            <w:tcW w:w="4406" w:type="dxa"/>
          </w:tcPr>
          <w:p w14:paraId="78C6D30B" w14:textId="77777777" w:rsidR="00817BF2" w:rsidRPr="006C790E" w:rsidRDefault="00817BF2" w:rsidP="00195129">
            <w:pPr>
              <w:pStyle w:val="Heading2"/>
              <w:jc w:val="center"/>
              <w:outlineLvl w:val="1"/>
            </w:pPr>
            <w:r w:rsidRPr="006C790E">
              <w:t>At gold</w:t>
            </w:r>
          </w:p>
        </w:tc>
        <w:tc>
          <w:tcPr>
            <w:tcW w:w="850" w:type="dxa"/>
          </w:tcPr>
          <w:p w14:paraId="7E9B3FA2" w14:textId="77777777" w:rsidR="00817BF2" w:rsidRPr="006C790E" w:rsidRDefault="00817BF2" w:rsidP="00195129">
            <w:pPr>
              <w:pStyle w:val="Heading2"/>
              <w:outlineLvl w:val="1"/>
            </w:pPr>
            <w:r w:rsidRPr="006C790E">
              <w:t>RAG</w:t>
            </w:r>
          </w:p>
        </w:tc>
        <w:tc>
          <w:tcPr>
            <w:tcW w:w="6214" w:type="dxa"/>
          </w:tcPr>
          <w:p w14:paraId="24E526C2" w14:textId="77777777" w:rsidR="00817BF2" w:rsidRPr="006C790E" w:rsidRDefault="00817BF2" w:rsidP="00195129">
            <w:pPr>
              <w:pStyle w:val="Heading2"/>
              <w:outlineLvl w:val="1"/>
            </w:pPr>
            <w:r w:rsidRPr="006C790E">
              <w:t>Actions – WHAT, who, when</w:t>
            </w:r>
          </w:p>
        </w:tc>
      </w:tr>
      <w:tr w:rsidR="00817BF2" w:rsidRPr="006C790E" w14:paraId="721CD9F6" w14:textId="77777777" w:rsidTr="004D344C">
        <w:trPr>
          <w:trHeight w:val="660"/>
        </w:trPr>
        <w:tc>
          <w:tcPr>
            <w:tcW w:w="2847" w:type="dxa"/>
          </w:tcPr>
          <w:p w14:paraId="3029948C" w14:textId="27671BC3" w:rsidR="00817BF2" w:rsidRPr="006C790E" w:rsidRDefault="0038130C" w:rsidP="00195129">
            <w:pPr>
              <w:pStyle w:val="ListParagraph"/>
              <w:numPr>
                <w:ilvl w:val="0"/>
                <w:numId w:val="12"/>
              </w:numPr>
              <w:rPr>
                <w:rFonts w:cs="Arial"/>
              </w:rPr>
            </w:pPr>
            <w:r w:rsidRPr="0038130C">
              <w:rPr>
                <w:rFonts w:cs="Arial"/>
              </w:rPr>
              <w:t>Children and young people know that their views are taken seriously.</w:t>
            </w:r>
          </w:p>
        </w:tc>
        <w:tc>
          <w:tcPr>
            <w:tcW w:w="4406" w:type="dxa"/>
          </w:tcPr>
          <w:p w14:paraId="6BBE9218" w14:textId="52E06539" w:rsidR="00817BF2" w:rsidRPr="006C790E" w:rsidRDefault="0038130C" w:rsidP="00195129">
            <w:r w:rsidRPr="0038130C">
              <w:t>Most children and young people know how their participation has a significant impact on school improvement.</w:t>
            </w:r>
          </w:p>
        </w:tc>
        <w:tc>
          <w:tcPr>
            <w:tcW w:w="850" w:type="dxa"/>
          </w:tcPr>
          <w:p w14:paraId="08F78374" w14:textId="77777777" w:rsidR="00817BF2" w:rsidRPr="006C790E" w:rsidRDefault="00817BF2" w:rsidP="00195129"/>
        </w:tc>
        <w:tc>
          <w:tcPr>
            <w:tcW w:w="6214" w:type="dxa"/>
            <w:vMerge w:val="restart"/>
          </w:tcPr>
          <w:p w14:paraId="1A7ABFCD" w14:textId="77777777" w:rsidR="00817BF2" w:rsidRPr="006C790E" w:rsidRDefault="00817BF2" w:rsidP="00195129"/>
        </w:tc>
      </w:tr>
      <w:tr w:rsidR="00817BF2" w:rsidRPr="006C790E" w14:paraId="1495BBED" w14:textId="77777777" w:rsidTr="004D344C">
        <w:trPr>
          <w:trHeight w:val="450"/>
        </w:trPr>
        <w:tc>
          <w:tcPr>
            <w:tcW w:w="2847" w:type="dxa"/>
            <w:vMerge w:val="restart"/>
          </w:tcPr>
          <w:p w14:paraId="57E29EF0" w14:textId="05A182E6" w:rsidR="00817BF2" w:rsidRPr="006C790E" w:rsidRDefault="0038130C" w:rsidP="00195129">
            <w:pPr>
              <w:pStyle w:val="ListParagraph"/>
              <w:numPr>
                <w:ilvl w:val="0"/>
                <w:numId w:val="12"/>
              </w:numPr>
              <w:rPr>
                <w:rFonts w:cs="Arial"/>
              </w:rPr>
            </w:pPr>
            <w:r w:rsidRPr="0038130C">
              <w:rPr>
                <w:rFonts w:cs="Arial"/>
              </w:rPr>
              <w:t>Children and young people have taken action to claim their rights and promote the rights of others, locally and globally.</w:t>
            </w:r>
          </w:p>
        </w:tc>
        <w:tc>
          <w:tcPr>
            <w:tcW w:w="4406" w:type="dxa"/>
          </w:tcPr>
          <w:p w14:paraId="7CF70D2A" w14:textId="77777777" w:rsidR="00817BF2" w:rsidRDefault="0038130C" w:rsidP="00195129">
            <w:r w:rsidRPr="0038130C">
              <w:t xml:space="preserve">Children and young people engage in action to campaign and/or advocate for the rights of children locally and globally. </w:t>
            </w:r>
          </w:p>
          <w:p w14:paraId="6D890C05" w14:textId="1609470A" w:rsidR="0038130C" w:rsidRPr="006C790E" w:rsidRDefault="0038130C" w:rsidP="00195129"/>
        </w:tc>
        <w:tc>
          <w:tcPr>
            <w:tcW w:w="850" w:type="dxa"/>
          </w:tcPr>
          <w:p w14:paraId="3D9F1D38" w14:textId="77777777" w:rsidR="00817BF2" w:rsidRPr="006C790E" w:rsidRDefault="00817BF2" w:rsidP="00195129"/>
        </w:tc>
        <w:tc>
          <w:tcPr>
            <w:tcW w:w="6214" w:type="dxa"/>
            <w:vMerge/>
          </w:tcPr>
          <w:p w14:paraId="1C30BB7F" w14:textId="77777777" w:rsidR="00817BF2" w:rsidRPr="006C790E" w:rsidRDefault="00817BF2" w:rsidP="00195129"/>
        </w:tc>
      </w:tr>
      <w:tr w:rsidR="00817BF2" w:rsidRPr="006C790E" w14:paraId="185AA556" w14:textId="77777777" w:rsidTr="004D344C">
        <w:trPr>
          <w:trHeight w:val="450"/>
        </w:trPr>
        <w:tc>
          <w:tcPr>
            <w:tcW w:w="2847" w:type="dxa"/>
            <w:vMerge/>
          </w:tcPr>
          <w:p w14:paraId="4F571CD5" w14:textId="77777777" w:rsidR="00817BF2" w:rsidRPr="006C790E" w:rsidRDefault="00817BF2" w:rsidP="00195129">
            <w:pPr>
              <w:pStyle w:val="ListParagraph"/>
              <w:numPr>
                <w:ilvl w:val="0"/>
                <w:numId w:val="12"/>
              </w:numPr>
              <w:rPr>
                <w:rFonts w:cs="Arial"/>
              </w:rPr>
            </w:pPr>
          </w:p>
        </w:tc>
        <w:tc>
          <w:tcPr>
            <w:tcW w:w="4406" w:type="dxa"/>
          </w:tcPr>
          <w:p w14:paraId="3C02F1EF" w14:textId="77777777" w:rsidR="00817BF2" w:rsidRDefault="0038130C" w:rsidP="00195129">
            <w:r w:rsidRPr="0038130C">
              <w:t>Most children and young people understand their role as global citizens.</w:t>
            </w:r>
          </w:p>
          <w:p w14:paraId="1FA79782" w14:textId="233B7BA3" w:rsidR="0038130C" w:rsidRPr="006C790E" w:rsidRDefault="0038130C" w:rsidP="00195129"/>
        </w:tc>
        <w:tc>
          <w:tcPr>
            <w:tcW w:w="850" w:type="dxa"/>
          </w:tcPr>
          <w:p w14:paraId="7B6C1A1C" w14:textId="77777777" w:rsidR="00817BF2" w:rsidRPr="006C790E" w:rsidRDefault="00817BF2" w:rsidP="00195129"/>
        </w:tc>
        <w:tc>
          <w:tcPr>
            <w:tcW w:w="6214" w:type="dxa"/>
            <w:vMerge/>
          </w:tcPr>
          <w:p w14:paraId="7D3293BD" w14:textId="77777777" w:rsidR="00817BF2" w:rsidRPr="006C790E" w:rsidRDefault="00817BF2" w:rsidP="00195129"/>
        </w:tc>
      </w:tr>
    </w:tbl>
    <w:p w14:paraId="25F74DD6" w14:textId="77777777" w:rsidR="006607D6" w:rsidRPr="006C790E" w:rsidRDefault="006607D6" w:rsidP="006607D6"/>
    <w:sectPr w:rsidR="006607D6" w:rsidRPr="006C790E" w:rsidSect="004D344C">
      <w:headerReference w:type="even" r:id="rId9"/>
      <w:headerReference w:type="default" r:id="rId10"/>
      <w:footerReference w:type="even" r:id="rId11"/>
      <w:footerReference w:type="default" r:id="rId12"/>
      <w:headerReference w:type="first" r:id="rId13"/>
      <w:footerReference w:type="first" r:id="rId14"/>
      <w:pgSz w:w="16838" w:h="11906" w:orient="landscape"/>
      <w:pgMar w:top="1276" w:right="962" w:bottom="720" w:left="720" w:header="70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1C85" w14:textId="77777777" w:rsidR="003E4BB1" w:rsidRDefault="003E4BB1" w:rsidP="001102F1">
      <w:pPr>
        <w:spacing w:after="0" w:line="240" w:lineRule="auto"/>
      </w:pPr>
      <w:r>
        <w:separator/>
      </w:r>
    </w:p>
  </w:endnote>
  <w:endnote w:type="continuationSeparator" w:id="0">
    <w:p w14:paraId="18630EC2" w14:textId="77777777" w:rsidR="003E4BB1" w:rsidRDefault="003E4BB1"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75D" w14:textId="77777777" w:rsidR="00FE1178" w:rsidRDefault="00FE1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A2E5" w14:textId="4BD86394" w:rsidR="00684680" w:rsidRPr="007776E8" w:rsidRDefault="00684680" w:rsidP="00684680">
    <w:pPr>
      <w:spacing w:line="240" w:lineRule="auto"/>
      <w:ind w:left="284" w:right="-472"/>
      <w:contextualSpacing/>
      <w:rPr>
        <w:b/>
        <w:sz w:val="20"/>
      </w:rPr>
    </w:pPr>
    <w:r>
      <w:rPr>
        <w:b/>
        <w:sz w:val="20"/>
      </w:rPr>
      <w:t>Action Plan for Gold</w:t>
    </w:r>
  </w:p>
  <w:p w14:paraId="47A4CBCE" w14:textId="62C32763" w:rsidR="00684680" w:rsidRPr="00684680" w:rsidRDefault="00684680" w:rsidP="00684680">
    <w:pPr>
      <w:spacing w:line="240" w:lineRule="auto"/>
      <w:ind w:left="284" w:right="-472"/>
      <w:contextualSpacing/>
      <w:rPr>
        <w:sz w:val="20"/>
        <w:lang w:eastAsia="x-none" w:bidi="x-none"/>
      </w:rPr>
    </w:pPr>
    <w:r w:rsidRPr="007776E8">
      <w:rPr>
        <w:sz w:val="20"/>
      </w:rPr>
      <w:t>Rights Respecting Schools Award © U</w:t>
    </w:r>
    <w:r w:rsidR="00ED209D">
      <w:rPr>
        <w:sz w:val="20"/>
      </w:rPr>
      <w:t>NICEF</w:t>
    </w:r>
    <w:r w:rsidRPr="007776E8">
      <w:rPr>
        <w:sz w:val="20"/>
      </w:rPr>
      <w:t xml:space="preserve"> UK 20</w:t>
    </w:r>
    <w:r w:rsidR="00ED209D">
      <w:rPr>
        <w:sz w:val="20"/>
      </w:rPr>
      <w:t>21</w:t>
    </w:r>
    <w:r w:rsidRPr="007776E8">
      <w:rPr>
        <w:sz w:val="20"/>
      </w:rPr>
      <w:t xml:space="preserve"> </w:t>
    </w:r>
    <w:r w:rsidRPr="007776E8">
      <w:rPr>
        <w:sz w:val="20"/>
      </w:rPr>
      <w:tab/>
    </w:r>
    <w:r>
      <w:rPr>
        <w:sz w:val="20"/>
      </w:rPr>
      <w:tab/>
    </w:r>
    <w:r>
      <w:rPr>
        <w:sz w:val="20"/>
      </w:rPr>
      <w:tab/>
    </w:r>
    <w:r>
      <w:rPr>
        <w:sz w:val="20"/>
      </w:rPr>
      <w:tab/>
    </w:r>
    <w:r>
      <w:rPr>
        <w:sz w:val="20"/>
      </w:rPr>
      <w:tab/>
    </w:r>
    <w:r>
      <w:rPr>
        <w:sz w:val="20"/>
      </w:rPr>
      <w:tab/>
    </w:r>
    <w:r>
      <w:rPr>
        <w:sz w:val="20"/>
      </w:rPr>
      <w:tab/>
    </w:r>
    <w:r>
      <w:rPr>
        <w:sz w:val="20"/>
      </w:rPr>
      <w:tab/>
    </w:r>
    <w:r w:rsidRPr="007776E8">
      <w:rPr>
        <w:sz w:val="20"/>
      </w:rPr>
      <w:tab/>
    </w:r>
    <w:hyperlink r:id="rId1" w:history="1">
      <w:r w:rsidRPr="007776E8">
        <w:rPr>
          <w:rStyle w:val="Hyperlink"/>
          <w:sz w:val="20"/>
          <w:lang w:eastAsia="x-none" w:bidi="x-none"/>
        </w:rPr>
        <w:t>unicef.org.uk/rights-respecting-schools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5278" w14:textId="77777777" w:rsidR="00FE1178" w:rsidRDefault="00FE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A2D1" w14:textId="77777777" w:rsidR="003E4BB1" w:rsidRDefault="003E4BB1" w:rsidP="001102F1">
      <w:pPr>
        <w:spacing w:after="0" w:line="240" w:lineRule="auto"/>
      </w:pPr>
      <w:r>
        <w:separator/>
      </w:r>
    </w:p>
  </w:footnote>
  <w:footnote w:type="continuationSeparator" w:id="0">
    <w:p w14:paraId="0E6D6499" w14:textId="77777777" w:rsidR="003E4BB1" w:rsidRDefault="003E4BB1" w:rsidP="0011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4AA2" w14:textId="77777777" w:rsidR="00FE1178" w:rsidRDefault="00FE1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43BF" w14:textId="77777777" w:rsidR="00FE1178" w:rsidRDefault="00FE1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E93" w14:textId="77777777" w:rsidR="00FE1178" w:rsidRDefault="00FE1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03484">
    <w:abstractNumId w:val="0"/>
  </w:num>
  <w:num w:numId="2" w16cid:durableId="1383596435">
    <w:abstractNumId w:val="9"/>
  </w:num>
  <w:num w:numId="3" w16cid:durableId="1221286326">
    <w:abstractNumId w:val="4"/>
  </w:num>
  <w:num w:numId="4" w16cid:durableId="756514217">
    <w:abstractNumId w:val="3"/>
  </w:num>
  <w:num w:numId="5" w16cid:durableId="1886137221">
    <w:abstractNumId w:val="1"/>
  </w:num>
  <w:num w:numId="6" w16cid:durableId="1414083821">
    <w:abstractNumId w:val="10"/>
  </w:num>
  <w:num w:numId="7" w16cid:durableId="1616911160">
    <w:abstractNumId w:val="11"/>
  </w:num>
  <w:num w:numId="8" w16cid:durableId="172110612">
    <w:abstractNumId w:val="7"/>
  </w:num>
  <w:num w:numId="9" w16cid:durableId="903225098">
    <w:abstractNumId w:val="2"/>
  </w:num>
  <w:num w:numId="10" w16cid:durableId="1349017951">
    <w:abstractNumId w:val="5"/>
  </w:num>
  <w:num w:numId="11" w16cid:durableId="1178278267">
    <w:abstractNumId w:val="6"/>
  </w:num>
  <w:num w:numId="12" w16cid:durableId="1909998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562B7"/>
    <w:rsid w:val="00067D7B"/>
    <w:rsid w:val="000758E1"/>
    <w:rsid w:val="000A5899"/>
    <w:rsid w:val="000C7427"/>
    <w:rsid w:val="000D04A7"/>
    <w:rsid w:val="000F26C8"/>
    <w:rsid w:val="001102F1"/>
    <w:rsid w:val="00154499"/>
    <w:rsid w:val="00155D09"/>
    <w:rsid w:val="00167889"/>
    <w:rsid w:val="00177CFB"/>
    <w:rsid w:val="001D67AE"/>
    <w:rsid w:val="001F250C"/>
    <w:rsid w:val="00204939"/>
    <w:rsid w:val="00225228"/>
    <w:rsid w:val="00271BF0"/>
    <w:rsid w:val="00273571"/>
    <w:rsid w:val="002B56DA"/>
    <w:rsid w:val="00351521"/>
    <w:rsid w:val="0038130C"/>
    <w:rsid w:val="00386D76"/>
    <w:rsid w:val="00387CFE"/>
    <w:rsid w:val="00395018"/>
    <w:rsid w:val="00396718"/>
    <w:rsid w:val="003D2B74"/>
    <w:rsid w:val="003D3BF2"/>
    <w:rsid w:val="003E4BB1"/>
    <w:rsid w:val="00470790"/>
    <w:rsid w:val="004900C4"/>
    <w:rsid w:val="004A325A"/>
    <w:rsid w:val="004B0A3C"/>
    <w:rsid w:val="004D344C"/>
    <w:rsid w:val="004E40E2"/>
    <w:rsid w:val="004F248B"/>
    <w:rsid w:val="00506516"/>
    <w:rsid w:val="00507056"/>
    <w:rsid w:val="00525633"/>
    <w:rsid w:val="0056037D"/>
    <w:rsid w:val="00564D0F"/>
    <w:rsid w:val="00594C96"/>
    <w:rsid w:val="005A419F"/>
    <w:rsid w:val="005A55A9"/>
    <w:rsid w:val="005C6665"/>
    <w:rsid w:val="006134E5"/>
    <w:rsid w:val="00641ECD"/>
    <w:rsid w:val="006579D5"/>
    <w:rsid w:val="006607D6"/>
    <w:rsid w:val="00684680"/>
    <w:rsid w:val="00694C34"/>
    <w:rsid w:val="006C790E"/>
    <w:rsid w:val="006C7E18"/>
    <w:rsid w:val="00734326"/>
    <w:rsid w:val="00736802"/>
    <w:rsid w:val="00743825"/>
    <w:rsid w:val="00750276"/>
    <w:rsid w:val="0078452A"/>
    <w:rsid w:val="007A195C"/>
    <w:rsid w:val="007B60BB"/>
    <w:rsid w:val="007B7F55"/>
    <w:rsid w:val="007D1872"/>
    <w:rsid w:val="007E3D0E"/>
    <w:rsid w:val="007E651A"/>
    <w:rsid w:val="00812B2F"/>
    <w:rsid w:val="00817BF2"/>
    <w:rsid w:val="00837622"/>
    <w:rsid w:val="008711B8"/>
    <w:rsid w:val="008B1274"/>
    <w:rsid w:val="008C13D9"/>
    <w:rsid w:val="008C5FBB"/>
    <w:rsid w:val="00913543"/>
    <w:rsid w:val="00927CF5"/>
    <w:rsid w:val="009B7EA4"/>
    <w:rsid w:val="009C59C0"/>
    <w:rsid w:val="009F14C2"/>
    <w:rsid w:val="00A17B41"/>
    <w:rsid w:val="00A47B72"/>
    <w:rsid w:val="00A50DC3"/>
    <w:rsid w:val="00A5378E"/>
    <w:rsid w:val="00A66777"/>
    <w:rsid w:val="00AA145B"/>
    <w:rsid w:val="00AD2403"/>
    <w:rsid w:val="00B535EC"/>
    <w:rsid w:val="00B53B9F"/>
    <w:rsid w:val="00B5655A"/>
    <w:rsid w:val="00B762AB"/>
    <w:rsid w:val="00BB3C61"/>
    <w:rsid w:val="00BD0350"/>
    <w:rsid w:val="00BE6450"/>
    <w:rsid w:val="00BF4BC8"/>
    <w:rsid w:val="00C05CC8"/>
    <w:rsid w:val="00C45564"/>
    <w:rsid w:val="00CC6B1E"/>
    <w:rsid w:val="00CE67EC"/>
    <w:rsid w:val="00D20ACF"/>
    <w:rsid w:val="00D32CB5"/>
    <w:rsid w:val="00D44450"/>
    <w:rsid w:val="00D721C4"/>
    <w:rsid w:val="00DD18B7"/>
    <w:rsid w:val="00DF2DA5"/>
    <w:rsid w:val="00E06AF0"/>
    <w:rsid w:val="00E22360"/>
    <w:rsid w:val="00E25B03"/>
    <w:rsid w:val="00E36C99"/>
    <w:rsid w:val="00E47BF6"/>
    <w:rsid w:val="00E76945"/>
    <w:rsid w:val="00E837A6"/>
    <w:rsid w:val="00EB41CA"/>
    <w:rsid w:val="00ED209D"/>
    <w:rsid w:val="00F3447B"/>
    <w:rsid w:val="00FE1178"/>
    <w:rsid w:val="00FF26E1"/>
    <w:rsid w:val="447C47A1"/>
    <w:rsid w:val="5F171474"/>
    <w:rsid w:val="66C83D37"/>
    <w:rsid w:val="68F6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3BB56"/>
  <w15:chartTrackingRefBased/>
  <w15:docId w15:val="{F3FCBFA2-24E3-43B2-9CCC-0414095B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semiHidden/>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 w:id="8067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0263-6BDE-45BE-AF2E-77F787A5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Usman Shahid</cp:lastModifiedBy>
  <cp:revision>2</cp:revision>
  <dcterms:created xsi:type="dcterms:W3CDTF">2024-08-27T11:36:00Z</dcterms:created>
  <dcterms:modified xsi:type="dcterms:W3CDTF">2024-08-27T11:36:00Z</dcterms:modified>
</cp:coreProperties>
</file>